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F06" w:rsidRPr="004631EA" w:rsidRDefault="004631EA" w:rsidP="00186F06">
      <w:pPr>
        <w:jc w:val="center"/>
        <w:rPr>
          <w:b/>
        </w:rPr>
      </w:pPr>
      <w:r w:rsidRPr="004631EA">
        <w:rPr>
          <w:b/>
        </w:rPr>
        <w:t xml:space="preserve">[Blackmun Notes Before Oral Argument </w:t>
      </w:r>
      <w:r w:rsidR="00167B39">
        <w:rPr>
          <w:b/>
        </w:rPr>
        <w:t xml:space="preserve">10-08-83 IMAGE </w:t>
      </w:r>
      <w:proofErr w:type="gramStart"/>
      <w:r w:rsidR="00167B39">
        <w:rPr>
          <w:b/>
        </w:rPr>
        <w:t>HAB394F110014</w:t>
      </w:r>
      <w:r w:rsidR="00FA60B8">
        <w:rPr>
          <w:b/>
        </w:rPr>
        <w:t xml:space="preserve"> </w:t>
      </w:r>
      <w:r w:rsidR="00186F06">
        <w:rPr>
          <w:b/>
        </w:rPr>
        <w:t>]</w:t>
      </w:r>
      <w:proofErr w:type="gramEnd"/>
      <w:r w:rsidR="00186F06">
        <w:rPr>
          <w:rStyle w:val="FootnoteReference"/>
          <w:b/>
        </w:rPr>
        <w:footnoteReference w:id="1"/>
      </w:r>
      <w:r w:rsidR="00186F06" w:rsidRPr="00186F06">
        <w:rPr>
          <w:rStyle w:val="FootnoteReference"/>
          <w:b/>
        </w:rPr>
        <w:t xml:space="preserve"> </w:t>
      </w:r>
    </w:p>
    <w:p w:rsidR="004A25E8" w:rsidRDefault="000E4BF7">
      <w:r>
        <w:rPr>
          <w:noProof/>
        </w:rPr>
        <mc:AlternateContent>
          <mc:Choice Requires="wps">
            <w:drawing>
              <wp:anchor distT="0" distB="0" distL="114300" distR="114300" simplePos="0" relativeHeight="251655680" behindDoc="0" locked="0" layoutInCell="1" allowOverlap="1">
                <wp:simplePos x="0" y="0"/>
                <wp:positionH relativeFrom="column">
                  <wp:posOffset>-1240277</wp:posOffset>
                </wp:positionH>
                <wp:positionV relativeFrom="paragraph">
                  <wp:posOffset>66716</wp:posOffset>
                </wp:positionV>
                <wp:extent cx="7201191" cy="6848272"/>
                <wp:effectExtent l="0" t="0" r="19050" b="1016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1191" cy="68482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26026" id="Rectangle 13" o:spid="_x0000_s1026" style="position:absolute;margin-left:-97.65pt;margin-top:5.25pt;width:567pt;height:53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lmFeQIAAP4EAAAOAAAAZHJzL2Uyb0RvYy54bWysVMGO2jAQvVfqP1i+syHZwEJEWCECVaVt&#10;u+q2H2Bsh1h1bNc2hO2q/96xAxS6l6pqDomdGc+8N/PGs/tDK9GeWye0KnF6M8SIK6qZUNsSf/2y&#10;Hkwwcp4oRqRWvMTP3OH7+ds3s84UPNONloxbBEGUKzpT4sZ7UySJow1vibvRhisw1tq2xMPWbhNm&#10;SQfRW5lkw+E46bRlxmrKnYO/VW/E8xi/rjn1n+racY9kiQGbj28b35vwTuYzUmwtMY2gRxjkH1C0&#10;RChIeg5VEU/QzopXoVpBrXa69jdUt4mua0F55ABs0uEfbJ4aYnjkAsVx5lwm9//C0o/7R4sEg95l&#10;GCnSQo8+Q9WI2kqO0ttQoM64AvyezKMNFJ150PSbQ0ovG3DjC2t113DCAFYa/JOrA2Hj4CjadB80&#10;g/Bk53Ws1aG2bQgIVUCH2JLnc0v4wSMKP++gLOk0xYiCbTzJJ9ldFnOQ4nTcWOffcd2isCixBfQx&#10;PNk/OB/gkOLkErIpvRZSxr5LhboST0fZKB5wWgoWjJGl3W6W0qI9CcqJzzHvlVsrPOhXirbEk7MT&#10;KUI5VorFLJ4I2a8BiVQhOLADbMdVr5OX6XC6mqwm+SDPxqtBPqyqwWK9zAfjdXo3qm6r5bJKfwac&#10;aV40gjGuAtSTZtP87zRxnJ5ebWfVXlFyl8zX8XnNPLmGEasMrE7fyC7qILS+l9BGs2eQgdX9EMKl&#10;AYtG2x8YdTCAJXbfd8RyjOR7BVKapnkeJjZu8hEIASN7adlcWoiiEKrEHqN+ufT9lO+MFdsGMqWx&#10;x0ovQH61iMII0uxRHUULQxYZHC+EMMWX++j1+9qa/wIAAP//AwBQSwMEFAAGAAgAAAAhAGP95Jbf&#10;AAAADAEAAA8AAABkcnMvZG93bnJldi54bWxMj8FOwzAMhu9IvENkJG5bMqZCW5pOBbHrJAYScMsa&#10;k1RrnKrJ1vL2ZCc42v+n35+rzex6dsYxdJ4krJYCGFLrdUdGwvvbdpEDC1GRVr0nlPCDATb19VWl&#10;Su0nesXzPhqWSiiUSoKNcSg5D61Fp8LSD0gp+/ajUzGNo+F6VFMqdz2/E+KeO9VRumDVgM8W2+P+&#10;5CS8DF+7JjOBNx/Rfh7907S1OyPl7c3cPAKLOMc/GC76SR3q5HTwJ9KB9RIWqyJbJzYlIgOWiGKd&#10;PwA7XBZ5IYDXFf//RP0LAAD//wMAUEsBAi0AFAAGAAgAAAAhALaDOJL+AAAA4QEAABMAAAAAAAAA&#10;AAAAAAAAAAAAAFtDb250ZW50X1R5cGVzXS54bWxQSwECLQAUAAYACAAAACEAOP0h/9YAAACUAQAA&#10;CwAAAAAAAAAAAAAAAAAvAQAAX3JlbHMvLnJlbHNQSwECLQAUAAYACAAAACEAFvZZhXkCAAD+BAAA&#10;DgAAAAAAAAAAAAAAAAAuAgAAZHJzL2Uyb0RvYy54bWxQSwECLQAUAAYACAAAACEAY/3klt8AAAAM&#10;AQAADwAAAAAAAAAAAAAAAADTBAAAZHJzL2Rvd25yZXYueG1sUEsFBgAAAAAEAAQA8wAAAN8FAAAA&#10;AA==&#10;" filled="f"/>
            </w:pict>
          </mc:Fallback>
        </mc:AlternateContent>
      </w:r>
    </w:p>
    <w:p w:rsidR="004A25E8" w:rsidRDefault="00167B39" w:rsidP="004D742B">
      <w:pPr>
        <w:ind w:right="-450"/>
      </w:pPr>
      <w:r>
        <w:t>82-738</w:t>
      </w:r>
      <w:r>
        <w:tab/>
      </w:r>
      <w:r w:rsidR="00C858E1">
        <w:tab/>
      </w:r>
      <w:proofErr w:type="spellStart"/>
      <w:r>
        <w:t>Migra</w:t>
      </w:r>
      <w:proofErr w:type="spellEnd"/>
      <w:r>
        <w:t xml:space="preserve"> v. Board of Education</w:t>
      </w:r>
    </w:p>
    <w:p w:rsidR="00167B39" w:rsidRDefault="00167B39" w:rsidP="004D742B">
      <w:pPr>
        <w:ind w:right="-450"/>
      </w:pPr>
    </w:p>
    <w:p w:rsidR="00167B39" w:rsidRDefault="00167B39" w:rsidP="00167B39">
      <w:pPr>
        <w:ind w:left="720" w:right="-450"/>
      </w:pPr>
      <w:r>
        <w:t>Findings of Fact and Conclusions and Res Judicata</w:t>
      </w:r>
    </w:p>
    <w:p w:rsidR="00167B39" w:rsidRDefault="00167B39" w:rsidP="00167B39">
      <w:pPr>
        <w:ind w:left="720" w:right="-450"/>
      </w:pPr>
      <w:r>
        <w:t xml:space="preserve">Petitioner was </w:t>
      </w:r>
      <w:r w:rsidRPr="00167B39">
        <w:rPr>
          <w:u w:val="single" w:color="006600"/>
        </w:rPr>
        <w:t>employee of Board</w:t>
      </w:r>
      <w:r>
        <w:t xml:space="preserve"> – supervisor of elementary education</w:t>
      </w:r>
    </w:p>
    <w:p w:rsidR="00486522" w:rsidRDefault="00486522" w:rsidP="00167B39">
      <w:pPr>
        <w:ind w:left="720" w:right="-450"/>
        <w:rPr>
          <w:u w:val="single" w:color="006600"/>
        </w:rPr>
      </w:pPr>
      <w:r>
        <w:t xml:space="preserve">Not tenured but </w:t>
      </w:r>
      <w:r w:rsidRPr="00486522">
        <w:rPr>
          <w:u w:val="single" w:color="006600"/>
        </w:rPr>
        <w:t>terminated 4/24/79 after she had accepted Board’s offer to renew</w:t>
      </w:r>
    </w:p>
    <w:p w:rsidR="00486522" w:rsidRDefault="00486522" w:rsidP="00167B39">
      <w:pPr>
        <w:ind w:left="720" w:right="-450"/>
        <w:rPr>
          <w:u w:val="single" w:color="006600"/>
        </w:rPr>
      </w:pPr>
      <w:r>
        <w:rPr>
          <w:u w:val="single" w:color="006600"/>
        </w:rPr>
        <w:t>Suit in Ohio court – contract breach and contract interference</w:t>
      </w:r>
    </w:p>
    <w:p w:rsidR="00486522" w:rsidRDefault="00486522" w:rsidP="00167B39">
      <w:pPr>
        <w:ind w:left="720" w:right="-450"/>
        <w:rPr>
          <w:u w:color="006600"/>
        </w:rPr>
      </w:pPr>
      <w:r>
        <w:rPr>
          <w:u w:color="006600"/>
        </w:rPr>
        <w:t xml:space="preserve">Ohio court </w:t>
      </w:r>
      <w:r w:rsidRPr="00486522">
        <w:rPr>
          <w:u w:val="single" w:color="006600"/>
        </w:rPr>
        <w:t>ruled board wrongfully terminated</w:t>
      </w:r>
    </w:p>
    <w:p w:rsidR="00486522" w:rsidRDefault="00486522" w:rsidP="00486522">
      <w:pPr>
        <w:ind w:left="1440" w:right="-450"/>
        <w:rPr>
          <w:u w:color="006600"/>
        </w:rPr>
      </w:pPr>
      <w:r>
        <w:rPr>
          <w:u w:color="006600"/>
        </w:rPr>
        <w:t>Then dismissed tort claim versus individual board members, at plaintiff’s request, sans [without] jury</w:t>
      </w:r>
    </w:p>
    <w:p w:rsidR="00C262AF" w:rsidRDefault="00C262AF" w:rsidP="00C262AF">
      <w:pPr>
        <w:ind w:left="720" w:right="-450"/>
        <w:rPr>
          <w:u w:color="006600"/>
        </w:rPr>
      </w:pPr>
      <w:r>
        <w:rPr>
          <w:u w:color="006600"/>
        </w:rPr>
        <w:t xml:space="preserve">Next day, </w:t>
      </w:r>
      <w:r w:rsidRPr="00C262AF">
        <w:rPr>
          <w:u w:val="single" w:color="006600"/>
        </w:rPr>
        <w:t>1983 suit in federal court</w:t>
      </w:r>
      <w:r>
        <w:rPr>
          <w:u w:color="006600"/>
        </w:rPr>
        <w:t xml:space="preserve"> versus board and member – </w:t>
      </w:r>
      <w:r w:rsidRPr="00C262AF">
        <w:rPr>
          <w:u w:val="single" w:color="006600"/>
        </w:rPr>
        <w:t>defamation and violation of constitutional rights</w:t>
      </w:r>
      <w:r>
        <w:rPr>
          <w:u w:color="006600"/>
        </w:rPr>
        <w:t>.</w:t>
      </w:r>
    </w:p>
    <w:p w:rsidR="00C262AF" w:rsidRDefault="00C262AF" w:rsidP="00C262AF">
      <w:pPr>
        <w:ind w:left="720" w:right="-450"/>
        <w:rPr>
          <w:u w:color="006600"/>
        </w:rPr>
      </w:pPr>
      <w:r>
        <w:rPr>
          <w:u w:color="006600"/>
        </w:rPr>
        <w:t>Federal Court ruled</w:t>
      </w:r>
    </w:p>
    <w:p w:rsidR="00C262AF" w:rsidRDefault="00C262AF" w:rsidP="00C262AF">
      <w:pPr>
        <w:ind w:left="1440" w:right="-450"/>
        <w:rPr>
          <w:u w:val="single" w:color="006600"/>
        </w:rPr>
      </w:pPr>
      <w:r>
        <w:rPr>
          <w:u w:color="006600"/>
        </w:rPr>
        <w:t xml:space="preserve">1) </w:t>
      </w:r>
      <w:r w:rsidR="00E1421C">
        <w:rPr>
          <w:u w:val="single" w:color="006600"/>
        </w:rPr>
        <w:t>Federal claims could have been litigated as part of the cause of action in state court.  Therefore, res judicata.</w:t>
      </w:r>
    </w:p>
    <w:p w:rsidR="00E1421C" w:rsidRDefault="00E1421C" w:rsidP="00C262AF">
      <w:pPr>
        <w:ind w:left="1440" w:right="-450"/>
        <w:rPr>
          <w:u w:color="006600"/>
        </w:rPr>
      </w:pPr>
      <w:r>
        <w:rPr>
          <w:u w:color="006600"/>
        </w:rPr>
        <w:t xml:space="preserve">2) </w:t>
      </w:r>
      <w:r>
        <w:rPr>
          <w:u w:val="single" w:color="006600"/>
        </w:rPr>
        <w:t>State claims barred by statute of limitations of one year</w:t>
      </w:r>
    </w:p>
    <w:p w:rsidR="00E1421C" w:rsidRDefault="00E1421C" w:rsidP="00E1421C">
      <w:pPr>
        <w:ind w:left="720" w:right="-450"/>
        <w:rPr>
          <w:u w:color="006600"/>
        </w:rPr>
      </w:pPr>
      <w:r w:rsidRPr="00E1421C">
        <w:rPr>
          <w:u w:val="single" w:color="006600"/>
        </w:rPr>
        <w:t>Sixth Circuit affirmed</w:t>
      </w:r>
      <w:r>
        <w:rPr>
          <w:u w:color="006600"/>
        </w:rPr>
        <w:t>.</w:t>
      </w:r>
    </w:p>
    <w:p w:rsidR="00E1421C" w:rsidRDefault="00E1421C" w:rsidP="00E1421C">
      <w:pPr>
        <w:ind w:left="720" w:right="-450"/>
        <w:rPr>
          <w:u w:color="006600"/>
        </w:rPr>
      </w:pPr>
    </w:p>
    <w:p w:rsidR="00E1421C" w:rsidRDefault="00E1421C" w:rsidP="00E1421C">
      <w:pPr>
        <w:ind w:left="720" w:right="-450"/>
        <w:rPr>
          <w:u w:color="006600"/>
        </w:rPr>
      </w:pPr>
      <w:r>
        <w:rPr>
          <w:u w:color="006600"/>
        </w:rPr>
        <w:t>Statutory construction</w:t>
      </w:r>
    </w:p>
    <w:p w:rsidR="00E1421C" w:rsidRDefault="00204925" w:rsidP="00E1421C">
      <w:pPr>
        <w:ind w:left="720" w:right="-450"/>
        <w:rPr>
          <w:u w:val="single" w:color="FF0000"/>
        </w:rPr>
      </w:pPr>
      <w:r>
        <w:rPr>
          <w:noProof/>
        </w:rPr>
        <mc:AlternateContent>
          <mc:Choice Requires="wps">
            <w:drawing>
              <wp:anchor distT="0" distB="0" distL="114300" distR="114300" simplePos="0" relativeHeight="251658752" behindDoc="0" locked="0" layoutInCell="1" allowOverlap="1" wp14:anchorId="20462AD3" wp14:editId="3EE59328">
                <wp:simplePos x="0" y="0"/>
                <wp:positionH relativeFrom="column">
                  <wp:posOffset>0</wp:posOffset>
                </wp:positionH>
                <wp:positionV relativeFrom="paragraph">
                  <wp:posOffset>6985</wp:posOffset>
                </wp:positionV>
                <wp:extent cx="123825" cy="161925"/>
                <wp:effectExtent l="0" t="0" r="28575" b="28575"/>
                <wp:wrapNone/>
                <wp:docPr id="7"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61925"/>
                        </a:xfrm>
                        <a:custGeom>
                          <a:avLst/>
                          <a:gdLst>
                            <a:gd name="T0" fmla="*/ 30 w 210"/>
                            <a:gd name="T1" fmla="*/ 180 h 390"/>
                            <a:gd name="T2" fmla="*/ 30 w 210"/>
                            <a:gd name="T3" fmla="*/ 360 h 390"/>
                            <a:gd name="T4" fmla="*/ 210 w 210"/>
                            <a:gd name="T5" fmla="*/ 0 h 390"/>
                          </a:gdLst>
                          <a:ahLst/>
                          <a:cxnLst>
                            <a:cxn ang="0">
                              <a:pos x="T0" y="T1"/>
                            </a:cxn>
                            <a:cxn ang="0">
                              <a:pos x="T2" y="T3"/>
                            </a:cxn>
                            <a:cxn ang="0">
                              <a:pos x="T4" y="T5"/>
                            </a:cxn>
                          </a:cxnLst>
                          <a:rect l="0" t="0" r="r" b="b"/>
                          <a:pathLst>
                            <a:path w="210" h="390">
                              <a:moveTo>
                                <a:pt x="30" y="180"/>
                              </a:moveTo>
                              <a:cubicBezTo>
                                <a:pt x="15" y="285"/>
                                <a:pt x="0" y="390"/>
                                <a:pt x="30" y="360"/>
                              </a:cubicBezTo>
                              <a:cubicBezTo>
                                <a:pt x="60" y="330"/>
                                <a:pt x="135" y="165"/>
                                <a:pt x="210" y="0"/>
                              </a:cubicBezTo>
                            </a:path>
                          </a:pathLst>
                        </a:custGeom>
                        <a:noFill/>
                        <a:ln w="12700">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7B1C3" id="Freeform 24" o:spid="_x0000_s1026" style="position:absolute;margin-left:0;margin-top:.55pt;width:9.75pt;height: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0,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wgNSQMAAJ4HAAAOAAAAZHJzL2Uyb0RvYy54bWysVdlu2zAQfC/QfyD4WMCRKCm+EDlofRQF&#10;0jZA3A+gKcoSKpEqSVtOiv57l9QROQcQFPWDTIqj2Z1Zcnl1fSoLdORK51LEmFz4GHHBZJKLfYx/&#10;bDejKUbaUJHQQgoe43uu8fXi/buruprzQGaySLhCQCL0vK5inBlTzT1Ps4yXVF/IigtYTKUqqYGp&#10;2nuJojWwl4UX+P7Yq6VKKiUZ1xrerppFvHD8acqZ+Z6mmhtUxBhyM+6p3HNnn97iis73ilZZzto0&#10;6D9kUdJcQNCeakUNRQeVP6Mqc6aklqm5YLL0ZJrmjDsNoIb4T9TcZbTiTguYo6veJv3/aNm3461C&#10;eRLjCUaCllCijeLcGo6CyNpTV3oOqLvqVlmBurqR7KeGBe9sxU40YNCu/ioToKEHI50lp1SV9ksQ&#10;i07O+fveeX4yiMFLEoTT4BIjBktkTGYwthHovPuYHbT5zKUjoscbbZrCJTBytidt8lsocloWUMMP&#10;Hgp9VKOAdFXuMWSAIVMfZSicPQMFA9BrROEQM36FKBqAIJmXUwLtfdoDHnBg32mkWSebnUSrG0aI&#10;2qPmO6srqa3F1gQwcktaEwFlTXoFDEItOHwTGMRYcFcexwxJwn+bkYIj9/SwKYzgsO1sADqvqLFC&#10;uiGqY2xLhLIY2yrY96U88q10CGP1hI0eKFWb4yOAHXY5+8QfhnACZkKSwdRlCREdScPRF7p52TKH&#10;4475nO981nwCUMsewqeNHsdOwiYoGZ8FdcoA/RI92Ga9cNu8N8V6OdjqQm7yonBxCmGtIsHEb0zS&#10;ssgTu2p9cv2SLwuFjhQ6nTl1pT9DKXkQiSPLOE3W7djQvGjGELxwOwWOZVsie0BdH/s982fr6Xoa&#10;jaJgvB5F/mo1+rhZRqPxhkwuV+FquVyRP7Z8JJpneZJwYZPreiqJ3taz2u7edMO+q56p0Gq/65Vu&#10;3K/dFgOYd56GMxm0dP9OnWtgtmc1TW4nk3voX0o2lwRcajDIpHrAqIYLIsb614EqjlHxRUAHnpEo&#10;gq1g3CS6nAQwUcOV3XCFCgZUUBkM59UOl6a5hQ6VyvcZRCJu6wv5Efpmmtv+5vJrsmoncAk4Be2F&#10;ZW+Z4dyhHq/VxV8AAAD//wMAUEsDBBQABgAIAAAAIQC/u37P2gAAAAQBAAAPAAAAZHJzL2Rvd25y&#10;ZXYueG1sTI/BTsMwEETvSPyDtUjcqNMCEQ1xKgQqQoCEaPmAbbxNIuy1Zbtp+HvcExx3ZjTztl5N&#10;1oiRQhwcK5jPChDErdMDdwq+tuurOxAxIWs0jknBD0VYNednNVbaHfmTxk3qRC7hWKGCPiVfSRnb&#10;nizGmfPE2du7YDHlM3RSBzzmcmvkoihKaXHgvNCjp8ee2u/NwSpY3zxdhzd+Me/PH69bOe790k9e&#10;qcuL6eEeRKIp/YXhhJ/RoclMO3dgHYVRkB9JWZ2DOJnLWxA7BYuyBNnU8j988wsAAP//AwBQSwEC&#10;LQAUAAYACAAAACEAtoM4kv4AAADhAQAAEwAAAAAAAAAAAAAAAAAAAAAAW0NvbnRlbnRfVHlwZXNd&#10;LnhtbFBLAQItABQABgAIAAAAIQA4/SH/1gAAAJQBAAALAAAAAAAAAAAAAAAAAC8BAABfcmVscy8u&#10;cmVsc1BLAQItABQABgAIAAAAIQBM4wgNSQMAAJ4HAAAOAAAAAAAAAAAAAAAAAC4CAABkcnMvZTJv&#10;RG9jLnhtbFBLAQItABQABgAIAAAAIQC/u37P2gAAAAQBAAAPAAAAAAAAAAAAAAAAAKMFAABkcnMv&#10;ZG93bnJldi54bWxQSwUGAAAAAAQABADzAAAAqgYAAAAA&#10;" path="m30,180c15,285,,390,30,360,60,330,135,165,210,e" filled="f" strokecolor="black [3213]" strokeweight="1pt">
                <v:path arrowok="t" o:connecttype="custom" o:connectlocs="17689,74735;17689,149469;123825,0" o:connectangles="0,0,0"/>
              </v:shape>
            </w:pict>
          </mc:Fallback>
        </mc:AlternateContent>
      </w:r>
      <w:r w:rsidR="00E1421C">
        <w:rPr>
          <w:u w:val="single" w:color="FF0000"/>
        </w:rPr>
        <w:t xml:space="preserve">I would affirm, but narrowly, in </w:t>
      </w:r>
      <w:r w:rsidR="00E1421C">
        <w:rPr>
          <w:i/>
          <w:u w:val="single" w:color="FF0000"/>
        </w:rPr>
        <w:t>view</w:t>
      </w:r>
      <w:r w:rsidR="00E1421C">
        <w:rPr>
          <w:u w:val="single" w:color="FF0000"/>
        </w:rPr>
        <w:t xml:space="preserve"> of my dissent</w:t>
      </w:r>
      <w:r w:rsidR="001C7092">
        <w:rPr>
          <w:u w:val="single" w:color="FF0000"/>
        </w:rPr>
        <w:t>s</w:t>
      </w:r>
      <w:r w:rsidR="00E1421C">
        <w:rPr>
          <w:u w:val="single" w:color="FF0000"/>
        </w:rPr>
        <w:t xml:space="preserve"> in Allen</w:t>
      </w:r>
      <w:r w:rsidR="00A00D69">
        <w:rPr>
          <w:rStyle w:val="FootnoteReference"/>
          <w:u w:val="single" w:color="FF0000"/>
        </w:rPr>
        <w:footnoteReference w:id="2"/>
      </w:r>
      <w:r w:rsidR="00E1421C">
        <w:rPr>
          <w:u w:val="single" w:color="FF0000"/>
        </w:rPr>
        <w:t xml:space="preserve"> and Kremer</w:t>
      </w:r>
      <w:r w:rsidR="000362DC">
        <w:rPr>
          <w:rStyle w:val="FootnoteReference"/>
          <w:u w:val="single" w:color="FF0000"/>
        </w:rPr>
        <w:footnoteReference w:id="3"/>
      </w:r>
    </w:p>
    <w:p w:rsidR="001C7092" w:rsidRDefault="00204925" w:rsidP="00E1421C">
      <w:pPr>
        <w:ind w:left="720" w:right="-450"/>
        <w:rPr>
          <w:u w:val="single" w:color="FF0000"/>
        </w:rPr>
      </w:pPr>
      <w:r>
        <w:rPr>
          <w:noProof/>
        </w:rPr>
        <mc:AlternateContent>
          <mc:Choice Requires="wps">
            <w:drawing>
              <wp:anchor distT="0" distB="0" distL="114300" distR="114300" simplePos="0" relativeHeight="251659776" behindDoc="0" locked="0" layoutInCell="1" allowOverlap="1" wp14:anchorId="12EAEDC6" wp14:editId="59B08D76">
                <wp:simplePos x="0" y="0"/>
                <wp:positionH relativeFrom="column">
                  <wp:posOffset>0</wp:posOffset>
                </wp:positionH>
                <wp:positionV relativeFrom="paragraph">
                  <wp:posOffset>6985</wp:posOffset>
                </wp:positionV>
                <wp:extent cx="123825" cy="161925"/>
                <wp:effectExtent l="0" t="0" r="28575" b="28575"/>
                <wp:wrapNone/>
                <wp:docPr id="6"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61925"/>
                        </a:xfrm>
                        <a:custGeom>
                          <a:avLst/>
                          <a:gdLst>
                            <a:gd name="T0" fmla="*/ 30 w 210"/>
                            <a:gd name="T1" fmla="*/ 180 h 390"/>
                            <a:gd name="T2" fmla="*/ 30 w 210"/>
                            <a:gd name="T3" fmla="*/ 360 h 390"/>
                            <a:gd name="T4" fmla="*/ 210 w 210"/>
                            <a:gd name="T5" fmla="*/ 0 h 390"/>
                          </a:gdLst>
                          <a:ahLst/>
                          <a:cxnLst>
                            <a:cxn ang="0">
                              <a:pos x="T0" y="T1"/>
                            </a:cxn>
                            <a:cxn ang="0">
                              <a:pos x="T2" y="T3"/>
                            </a:cxn>
                            <a:cxn ang="0">
                              <a:pos x="T4" y="T5"/>
                            </a:cxn>
                          </a:cxnLst>
                          <a:rect l="0" t="0" r="r" b="b"/>
                          <a:pathLst>
                            <a:path w="210" h="390">
                              <a:moveTo>
                                <a:pt x="30" y="180"/>
                              </a:moveTo>
                              <a:cubicBezTo>
                                <a:pt x="15" y="285"/>
                                <a:pt x="0" y="390"/>
                                <a:pt x="30" y="360"/>
                              </a:cubicBezTo>
                              <a:cubicBezTo>
                                <a:pt x="60" y="330"/>
                                <a:pt x="135" y="165"/>
                                <a:pt x="210" y="0"/>
                              </a:cubicBezTo>
                            </a:path>
                          </a:pathLst>
                        </a:custGeom>
                        <a:noFill/>
                        <a:ln w="12700">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9EE10" id="Freeform 24" o:spid="_x0000_s1026" style="position:absolute;margin-left:0;margin-top:.55pt;width:9.75pt;height:1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0,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0IGSQMAAJ4HAAAOAAAAZHJzL2Uyb0RvYy54bWysVV1vmzAUfZ+0/2D5cVIKBpomqKTakmaa&#10;1G2Vmv0Ax5iABjaznZB22n/ftfko6YdUTcsDsfHh3HvOta8vr45ViQ5c6UKKBJMzHyMumEwLsUvw&#10;j816MsNIGypSWkrBE3zPNb5avH932dQxD2Quy5QrBCRCx02d4NyYOvY8zXJeUX0may5gMZOqogam&#10;auelijbAXpVe4PtTr5EqrZVkXGt4u2oX8cLxZxln5nuWaW5QmWDIzbincs+tfXqLSxrvFK3zgnVp&#10;0H/IoqKFgKAD1YoaivaqeEZVFUxJLTNzxmTlySwrGHcaQA3xn6i5y2nNnRYwR9eDTfr/0bJvh1uF&#10;ijTBU4wEraBEa8W5NRwFkbWnqXUMqLv6VlmBur6R7KeGBe9kxU40YNC2+SpToKF7I50lx0xV9ksQ&#10;i47O+fvBeX40iMFLEoSz4BwjBktkSuYwthFo3H/M9tp85tIR0cONNm3hUhg529Mu+Q0UOatKqOEH&#10;D4U+alBA+ioPGDLCkJmPchTOn4GCEeg1onCMmb5CFI1AkMzLKYH2Ie0RDziw6zXSvJfNjqLTDSNE&#10;7VHzndW11NZiawIYuSGdiYCyJr0CBqEWHL4JDGIsuC+PY4Yk4b/LSMGRe3rYFEZw2LY2AI1raqyQ&#10;foiaBNsSoTzBtgr2fSUPfCMdwlg9YasHStXl+Ahg+23BPvGHMZyAmZBkMHNZQkRH0nIMhW5fdszh&#10;tGc+5TudtZ8A1LKH8Gmrx7GTsA1KpidBnTJAv0QPtlkv3DYfTLFejra6kOuiLF2cUlirSHDhtyZp&#10;WRapXbU+uX7Jl6VCBwqdzhz70p+glNyL1JHlnKbX3djQomzHELx0OwWOZVcie0BdH/s99+fXs+tZ&#10;NImC6fUk8lerycf1MppM1+TifBWulssV+WPLR6I4L9KUC5tc31NJ9Lae1XX3thsOXfVEhVa77aB0&#10;7X7dthjBvNM0nMmgpf936lwDsz2rbXJbmd5D/1KyvSTgUoNBLtUDRg1cEAnWv/ZUcYzKLwI68JxE&#10;EWwF4ybR+UUAEzVe2Y5XqGBABZXBcF7tcGnaW2hfq2KXQyTitr6QH6FvZoXtby6/NqtuApeAU9Bd&#10;WPaWGc8d6vFaXfwFAAD//wMAUEsDBBQABgAIAAAAIQC/u37P2gAAAAQBAAAPAAAAZHJzL2Rvd25y&#10;ZXYueG1sTI/BTsMwEETvSPyDtUjcqNMCEQ1xKgQqQoCEaPmAbbxNIuy1Zbtp+HvcExx3ZjTztl5N&#10;1oiRQhwcK5jPChDErdMDdwq+tuurOxAxIWs0jknBD0VYNednNVbaHfmTxk3qRC7hWKGCPiVfSRnb&#10;nizGmfPE2du7YDHlM3RSBzzmcmvkoihKaXHgvNCjp8ee2u/NwSpY3zxdhzd+Me/PH69bOe790k9e&#10;qcuL6eEeRKIp/YXhhJ/RoclMO3dgHYVRkB9JWZ2DOJnLWxA7BYuyBNnU8j988wsAAP//AwBQSwEC&#10;LQAUAAYACAAAACEAtoM4kv4AAADhAQAAEwAAAAAAAAAAAAAAAAAAAAAAW0NvbnRlbnRfVHlwZXNd&#10;LnhtbFBLAQItABQABgAIAAAAIQA4/SH/1gAAAJQBAAALAAAAAAAAAAAAAAAAAC8BAABfcmVscy8u&#10;cmVsc1BLAQItABQABgAIAAAAIQAlK0IGSQMAAJ4HAAAOAAAAAAAAAAAAAAAAAC4CAABkcnMvZTJv&#10;RG9jLnhtbFBLAQItABQABgAIAAAAIQC/u37P2gAAAAQBAAAPAAAAAAAAAAAAAAAAAKMFAABkcnMv&#10;ZG93bnJldi54bWxQSwUGAAAAAAQABADzAAAAqgYAAAAA&#10;" path="m30,180c15,285,,390,30,360,60,330,135,165,210,e" filled="f" strokecolor="black [3213]" strokeweight="1pt">
                <v:path arrowok="t" o:connecttype="custom" o:connectlocs="17689,74735;17689,149469;123825,0" o:connectangles="0,0,0"/>
              </v:shape>
            </w:pict>
          </mc:Fallback>
        </mc:AlternateContent>
      </w:r>
      <w:r w:rsidR="001C7092">
        <w:rPr>
          <w:u w:val="single" w:color="FF0000"/>
        </w:rPr>
        <w:t>Court will affirm and do so broadly, so I should separately concur.</w:t>
      </w:r>
    </w:p>
    <w:p w:rsidR="001C7092" w:rsidRDefault="001C7092" w:rsidP="00E1421C">
      <w:pPr>
        <w:ind w:left="720" w:right="-450"/>
        <w:rPr>
          <w:u w:val="single" w:color="FF0000"/>
        </w:rPr>
      </w:pPr>
      <w:r>
        <w:rPr>
          <w:u w:color="FF0000"/>
        </w:rPr>
        <w:t xml:space="preserve">My </w:t>
      </w:r>
      <w:r>
        <w:rPr>
          <w:u w:val="single" w:color="FF0000"/>
        </w:rPr>
        <w:t>dissent in Allen rested on proposition 1983 plaintiff had no choice of forum</w:t>
      </w:r>
    </w:p>
    <w:p w:rsidR="001C7092" w:rsidRPr="00210EFB" w:rsidRDefault="00AE1210" w:rsidP="001C7092">
      <w:pPr>
        <w:ind w:left="1440" w:right="-450"/>
        <w:rPr>
          <w:color w:val="000000" w:themeColor="text1"/>
          <w:u w:val="single" w:color="FF0000"/>
        </w:rPr>
      </w:pPr>
      <w:r>
        <w:rPr>
          <w:noProof/>
          <w:u w:color="006600"/>
        </w:rPr>
        <mc:AlternateContent>
          <mc:Choice Requires="wps">
            <w:drawing>
              <wp:anchor distT="0" distB="0" distL="114300" distR="114300" simplePos="0" relativeHeight="251656704" behindDoc="0" locked="0" layoutInCell="1" allowOverlap="1" wp14:anchorId="6D635581" wp14:editId="16D42450">
                <wp:simplePos x="0" y="0"/>
                <wp:positionH relativeFrom="column">
                  <wp:posOffset>4145280</wp:posOffset>
                </wp:positionH>
                <wp:positionV relativeFrom="paragraph">
                  <wp:posOffset>4445</wp:posOffset>
                </wp:positionV>
                <wp:extent cx="182880" cy="0"/>
                <wp:effectExtent l="0" t="0" r="26670" b="19050"/>
                <wp:wrapNone/>
                <wp:docPr id="5" name="Straight Connector 5"/>
                <wp:cNvGraphicFramePr/>
                <a:graphic xmlns:a="http://schemas.openxmlformats.org/drawingml/2006/main">
                  <a:graphicData uri="http://schemas.microsoft.com/office/word/2010/wordprocessingShape">
                    <wps:wsp>
                      <wps:cNvCnPr/>
                      <wps:spPr>
                        <a:xfrm>
                          <a:off x="0" y="0"/>
                          <a:ext cx="182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8DEE85" id="Straight Connector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4pt,.35pt" to="340.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bl6zQEAAAIEAAAOAAAAZHJzL2Uyb0RvYy54bWysU02L2zAQvRf6H4TuGzuBLcHE2UOW7WVp&#10;Q7f9AVp5FAskjRip+fj3HSmJs7SF0tKL7JHmvZn3NFo9HL0Te6BkMfRyPmulgKBxsGHXy29fn+6W&#10;UqSswqAcBujlCZJ8WL9/tzrEDhY4ohuABJOE1B1iL8ecY9c0SY/gVZphhMCHBsmrzCHtmoHUgdm9&#10;axZt+6E5IA2RUENKvPt4PpTrym8M6PzZmARZuF5yb7muVNfXsjbrlep2pOJo9aUN9Q9deGUDF52o&#10;HlVW4jvZX6i81YQJTZ5p9A0aYzVUDaxm3v6k5mVUEaoWNifFyab0/2j1p/2WhB16eS9FUJ6v6CWT&#10;srsxiw2GwAYiifvi0yGmjtM3YUuXKMUtFdFHQ758WY44Vm9Pk7dwzELz5ny5WC75BvT1qLnhIqX8&#10;EdCL8tNLZ0NRrTq1f06Za3HqNaVsu1DWhM4OT9a5GpR5gY0jsVd80/k4Lx0z7k0WRwXZFB3nzutf&#10;Pjk4s34Bw06UXmv1OoM3TqU1hHzldYGzC8xwBxOw/TPwkl+gUOfzb8ATolbGkCewtwHpd9VvVphz&#10;/tWBs+5iwSsOp3qn1RoetOrc5VGUSX4bV/jt6a5/AAAA//8DAFBLAwQUAAYACAAAACEAZPu8ZtsA&#10;AAAFAQAADwAAAGRycy9kb3ducmV2LnhtbEzOMU/DMBAF4B2J/2AdEht1WhUThTgVQnRBXZJ2gM2N&#10;r3FEfE5jp0n/Pe4E49M7vfvyzWw7dsHBt44kLBcJMKTa6ZYaCYf99ikF5oMirTpHKOGKHjbF/V2u&#10;Mu0mKvFShYbFEfKZkmBC6DPOfW3QKr9wPVLsTm6wKsQ4NFwPaorjtuOrJBHcqpbiB6N6fDdY/1Sj&#10;lfB53vnDWpQf5dc5rabv02gah1I+Psxvr8ACzuHvGG78SIcimo5uJO1ZJ0E8ryI9SHgBFmuRLgWw&#10;4y3yIuf/9cUvAAAA//8DAFBLAQItABQABgAIAAAAIQC2gziS/gAAAOEBAAATAAAAAAAAAAAAAAAA&#10;AAAAAABbQ29udGVudF9UeXBlc10ueG1sUEsBAi0AFAAGAAgAAAAhADj9If/WAAAAlAEAAAsAAAAA&#10;AAAAAAAAAAAALwEAAF9yZWxzLy5yZWxzUEsBAi0AFAAGAAgAAAAhAGNxuXrNAQAAAgQAAA4AAAAA&#10;AAAAAAAAAAAALgIAAGRycy9lMm9Eb2MueG1sUEsBAi0AFAAGAAgAAAAhAGT7vGbbAAAABQEAAA8A&#10;AAAAAAAAAAAAAAAAJwQAAGRycy9kb3ducmV2LnhtbFBLBQYAAAAABAAEAPMAAAAvBQAAAAA=&#10;" strokecolor="black [3213]"/>
            </w:pict>
          </mc:Fallback>
        </mc:AlternateContent>
      </w:r>
      <w:r>
        <w:rPr>
          <w:u w:color="FF0000"/>
        </w:rPr>
        <w:t xml:space="preserve">He was a </w:t>
      </w:r>
      <w:r w:rsidR="00210EFB" w:rsidRPr="00210EFB">
        <w:rPr>
          <w:u w:val="single"/>
        </w:rPr>
        <w:t>D</w:t>
      </w:r>
      <w:r w:rsidR="00210EFB">
        <w:t xml:space="preserve"> </w:t>
      </w:r>
      <w:r w:rsidR="00210EFB" w:rsidRPr="00210EFB">
        <w:rPr>
          <w:u w:val="single" w:color="FF0000"/>
        </w:rPr>
        <w:t>to a state criminal charge of heroin possession – 4</w:t>
      </w:r>
      <w:r w:rsidR="00210EFB" w:rsidRPr="00210EFB">
        <w:rPr>
          <w:u w:val="single" w:color="FF0000"/>
          <w:vertAlign w:val="superscript"/>
        </w:rPr>
        <w:t>th</w:t>
      </w:r>
      <w:r w:rsidR="00210EFB" w:rsidRPr="00210EFB">
        <w:rPr>
          <w:u w:val="single" w:color="FF0000"/>
        </w:rPr>
        <w:t xml:space="preserve"> Amendment issue</w:t>
      </w:r>
    </w:p>
    <w:p w:rsidR="00486522" w:rsidRPr="00210EFB" w:rsidRDefault="0082178F" w:rsidP="00210EFB">
      <w:pPr>
        <w:ind w:left="2160" w:right="-450"/>
        <w:rPr>
          <w:u w:val="single" w:color="FF0000"/>
        </w:rPr>
      </w:pPr>
      <w:r w:rsidRPr="000E4BF7">
        <w:rPr>
          <w:noProof/>
          <w:u w:color="FF0000"/>
        </w:rPr>
        <mc:AlternateContent>
          <mc:Choice Requires="wps">
            <w:drawing>
              <wp:anchor distT="0" distB="0" distL="114300" distR="114300" simplePos="0" relativeHeight="251657728" behindDoc="0" locked="0" layoutInCell="1" allowOverlap="1" wp14:anchorId="7E4465D9" wp14:editId="210431D7">
                <wp:simplePos x="0" y="0"/>
                <wp:positionH relativeFrom="leftMargin">
                  <wp:posOffset>484505</wp:posOffset>
                </wp:positionH>
                <wp:positionV relativeFrom="paragraph">
                  <wp:posOffset>-1905</wp:posOffset>
                </wp:positionV>
                <wp:extent cx="1440258" cy="709325"/>
                <wp:effectExtent l="0" t="342900" r="0" b="3384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955429">
                          <a:off x="0" y="0"/>
                          <a:ext cx="1440258" cy="709325"/>
                        </a:xfrm>
                        <a:prstGeom prst="rect">
                          <a:avLst/>
                        </a:prstGeom>
                        <a:noFill/>
                        <a:ln w="9525">
                          <a:noFill/>
                          <a:miter lim="800000"/>
                          <a:headEnd/>
                          <a:tailEnd/>
                        </a:ln>
                      </wps:spPr>
                      <wps:txbx>
                        <w:txbxContent>
                          <w:p w:rsidR="0082178F" w:rsidRPr="0082178F" w:rsidRDefault="0082178F" w:rsidP="0082178F">
                            <w:pPr>
                              <w:rPr>
                                <w:color w:val="000000" w:themeColor="text1"/>
                                <w:sz w:val="20"/>
                                <w:szCs w:val="20"/>
                                <w:u w:val="single"/>
                              </w:rPr>
                            </w:pPr>
                            <w:r>
                              <w:rPr>
                                <w:color w:val="000000" w:themeColor="text1"/>
                                <w:sz w:val="20"/>
                                <w:szCs w:val="20"/>
                              </w:rPr>
                              <w:t>Question of what state law is on preclusion and to what extent a federal court applies it</w:t>
                            </w:r>
                          </w:p>
                          <w:p w:rsidR="0082178F" w:rsidRPr="000E4BF7" w:rsidRDefault="0082178F" w:rsidP="0082178F">
                            <w:pPr>
                              <w:rPr>
                                <w:sz w:val="20"/>
                                <w:szCs w:val="20"/>
                              </w:rPr>
                            </w:pPr>
                          </w:p>
                          <w:p w:rsidR="0082178F" w:rsidRDefault="0082178F" w:rsidP="008217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4465D9" id="_x0000_t202" coordsize="21600,21600" o:spt="202" path="m,l,21600r21600,l21600,xe">
                <v:stroke joinstyle="miter"/>
                <v:path gradientshapeok="t" o:connecttype="rect"/>
              </v:shapetype>
              <v:shape id="Text Box 2" o:spid="_x0000_s1026" type="#_x0000_t202" style="position:absolute;left:0;text-align:left;margin-left:38.15pt;margin-top:-.15pt;width:113.4pt;height:55.85pt;rotation:-2888577fd;z-index:2516577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GjNFAIAAAMEAAAOAAAAZHJzL2Uyb0RvYy54bWysU9uO2yAQfa/Uf0C8N3a8cRNbcVbb3W5V&#10;aXuRdvsBBOMYFRgKJHb69R1wlETbt6p+QIYZzsw5c1jfjlqRg3BegmnofJZTIgyHVppdQ3+8PL5b&#10;UeIDMy1TYERDj8LT283bN+vB1qKAHlQrHEEQ4+vBNrQPwdZZ5nkvNPMzsMJgsAOnWcCt22WtYwOi&#10;a5UVef4+G8C11gEX3uPpwxSkm4TfdYKHb13nRSCqodhbSKtL6zau2WbN6p1jtpf81Ab7hy40kwaL&#10;nqEeWGBk7+RfUFpyBx66MOOgM+g6yUXigGzm+Ss2zz2zInFBcbw9y+T/Hyz/evjuiGwbepMvKTFM&#10;45BexBjIBxhJEfUZrK8x7dliYhjxGOecuHr7BPynJwbue2Z24s45GHrBWuxvHm9mV1cnHB9BtsMX&#10;aLEM2wdIQGPnNHGAw5mvqrJcFFU6RnUIFsOxHc+jip3x2MFikRclmotjbJlXN0WZKrI6gsVJWOfD&#10;JwGaxJ+GOrRCQmWHJx9ic5eUmG7gUSqV7KAMGRpalQj5KqJlQLcqqRu6yuM3+Sdy/mjadDkwqaZ/&#10;LKDMSYTIe1IgjNsRE6MyW2iPKEcijiTxFWGfPbjflAzoyIb6X3vmBCXqs0FJq8gZLZw2i3JZ4MZd&#10;R7bXEWY4QjU0UDL93odk+4nRHUrfySTDpZNTr+i0pM7pVUQrX+9T1uXtbv4AAAD//wMAUEsDBBQA&#10;BgAIAAAAIQBbTDiX3gAAAAgBAAAPAAAAZHJzL2Rvd25yZXYueG1sTI9NT8MwDIbvSPyHyEjctrS0&#10;GqxrOvEhbrsw0LhmjddUNE7XZF3Hr8ec4GRZ76PXj8v15Dox4hBaTwrSeQICqfampUbBx/vr7AFE&#10;iJqM7jyhggsGWFfXV6UujD/TG47b2AguoVBoBTbGvpAy1BadDnPfI3F28IPTkdehkWbQZy53nbxL&#10;koV0uiW+YHWPzxbrr+3JKXjajflmE2yybPJPT8fLy/K4+1bq9mZ6XIGIOMU/GH71WR0qdtr7E5kg&#10;OgX3i4xJBTMeHGdJloLYM5emOciqlP8fqH4AAAD//wMAUEsBAi0AFAAGAAgAAAAhALaDOJL+AAAA&#10;4QEAABMAAAAAAAAAAAAAAAAAAAAAAFtDb250ZW50X1R5cGVzXS54bWxQSwECLQAUAAYACAAAACEA&#10;OP0h/9YAAACUAQAACwAAAAAAAAAAAAAAAAAvAQAAX3JlbHMvLnJlbHNQSwECLQAUAAYACAAAACEA&#10;5gBozRQCAAADBAAADgAAAAAAAAAAAAAAAAAuAgAAZHJzL2Uyb0RvYy54bWxQSwECLQAUAAYACAAA&#10;ACEAW0w4l94AAAAIAQAADwAAAAAAAAAAAAAAAABuBAAAZHJzL2Rvd25yZXYueG1sUEsFBgAAAAAE&#10;AAQA8wAAAHkFAAAAAA==&#10;" filled="f" stroked="f">
                <v:textbox>
                  <w:txbxContent>
                    <w:p w:rsidR="0082178F" w:rsidRPr="0082178F" w:rsidRDefault="0082178F" w:rsidP="0082178F">
                      <w:pPr>
                        <w:rPr>
                          <w:color w:val="000000" w:themeColor="text1"/>
                          <w:sz w:val="20"/>
                          <w:szCs w:val="20"/>
                          <w:u w:val="single"/>
                        </w:rPr>
                      </w:pPr>
                      <w:r>
                        <w:rPr>
                          <w:color w:val="000000" w:themeColor="text1"/>
                          <w:sz w:val="20"/>
                          <w:szCs w:val="20"/>
                        </w:rPr>
                        <w:t>Question of what state law is on preclusion and to what extent a federal court applies it</w:t>
                      </w:r>
                    </w:p>
                    <w:p w:rsidR="0082178F" w:rsidRPr="000E4BF7" w:rsidRDefault="0082178F" w:rsidP="0082178F">
                      <w:pPr>
                        <w:rPr>
                          <w:sz w:val="20"/>
                          <w:szCs w:val="20"/>
                        </w:rPr>
                      </w:pPr>
                    </w:p>
                    <w:p w:rsidR="0082178F" w:rsidRDefault="0082178F" w:rsidP="0082178F"/>
                  </w:txbxContent>
                </v:textbox>
                <w10:wrap anchorx="margin"/>
              </v:shape>
            </w:pict>
          </mc:Fallback>
        </mc:AlternateContent>
      </w:r>
      <w:r w:rsidR="00210EFB" w:rsidRPr="00210EFB">
        <w:rPr>
          <w:u w:val="single" w:color="FF0000"/>
        </w:rPr>
        <w:t xml:space="preserve">Kremer rested on </w:t>
      </w:r>
      <w:r w:rsidR="00210EFB" w:rsidRPr="00210EFB">
        <w:rPr>
          <w:u w:val="double" w:color="FF0000"/>
        </w:rPr>
        <w:t>nature</w:t>
      </w:r>
      <w:r w:rsidR="00210EFB" w:rsidRPr="00210EFB">
        <w:rPr>
          <w:u w:val="single" w:color="FF0000"/>
        </w:rPr>
        <w:t xml:space="preserve"> of state court review of administrative ruling</w:t>
      </w:r>
    </w:p>
    <w:p w:rsidR="00210EFB" w:rsidRPr="00210EFB" w:rsidRDefault="00210EFB" w:rsidP="00210EFB">
      <w:pPr>
        <w:ind w:left="1440" w:right="-450"/>
        <w:rPr>
          <w:u w:val="single" w:color="006600"/>
        </w:rPr>
      </w:pPr>
      <w:r>
        <w:rPr>
          <w:u w:color="006600"/>
        </w:rPr>
        <w:t xml:space="preserve">That review on </w:t>
      </w:r>
      <w:r w:rsidRPr="00210EFB">
        <w:rPr>
          <w:u w:color="FF0000"/>
        </w:rPr>
        <w:t xml:space="preserve">an </w:t>
      </w:r>
      <w:r w:rsidRPr="00210EFB">
        <w:rPr>
          <w:u w:val="single" w:color="FF0000"/>
        </w:rPr>
        <w:t>arbitrary and capricious basis only</w:t>
      </w:r>
      <w:r w:rsidRPr="00210EFB">
        <w:t xml:space="preserve"> – i.e. </w:t>
      </w:r>
      <w:r w:rsidRPr="00210EFB">
        <w:rPr>
          <w:u w:val="single" w:color="FF0000"/>
        </w:rPr>
        <w:t>no full judicial review</w:t>
      </w:r>
    </w:p>
    <w:p w:rsidR="00486522" w:rsidRDefault="005C6716" w:rsidP="00167B39">
      <w:pPr>
        <w:ind w:left="720" w:right="-450"/>
      </w:pPr>
      <w:r>
        <w:t xml:space="preserve">I recognized in Allen that </w:t>
      </w:r>
      <w:r>
        <w:rPr>
          <w:u w:val="single"/>
        </w:rPr>
        <w:t>proper</w:t>
      </w:r>
      <w:r>
        <w:t xml:space="preserve"> preclusion principals applied in 1983 actions</w:t>
      </w:r>
    </w:p>
    <w:p w:rsidR="005C6716" w:rsidRPr="005C6716" w:rsidRDefault="005C6716" w:rsidP="00167B39">
      <w:pPr>
        <w:ind w:left="720" w:right="-450"/>
        <w:rPr>
          <w:u w:val="single" w:color="FF0000"/>
        </w:rPr>
      </w:pPr>
      <w:r w:rsidRPr="005C6716">
        <w:rPr>
          <w:u w:val="single" w:color="FF0000"/>
        </w:rPr>
        <w:t>Question here is whether 1738 conflicts with any federal policy under 1983</w:t>
      </w:r>
    </w:p>
    <w:p w:rsidR="005C6716" w:rsidRDefault="005C6716" w:rsidP="00167B39">
      <w:pPr>
        <w:ind w:left="720" w:right="-450"/>
      </w:pPr>
      <w:r w:rsidRPr="00F730C9">
        <w:rPr>
          <w:u w:val="single" w:color="FF0000"/>
        </w:rPr>
        <w:t>No</w:t>
      </w:r>
      <w:r>
        <w:t xml:space="preserve"> – </w:t>
      </w:r>
      <w:r w:rsidRPr="00F730C9">
        <w:rPr>
          <w:u w:val="single" w:color="FF0000"/>
        </w:rPr>
        <w:t>Plaintiff could have brought suit in federal court, but chose not to do so</w:t>
      </w:r>
    </w:p>
    <w:p w:rsidR="005C6716" w:rsidRPr="00F730C9" w:rsidRDefault="005C6716" w:rsidP="005C6716">
      <w:pPr>
        <w:ind w:left="1440" w:right="-450"/>
        <w:rPr>
          <w:u w:val="single" w:color="FF0000"/>
        </w:rPr>
      </w:pPr>
      <w:r w:rsidRPr="00F730C9">
        <w:rPr>
          <w:u w:val="single" w:color="FF0000"/>
        </w:rPr>
        <w:t>She was in an offensive posture</w:t>
      </w:r>
    </w:p>
    <w:p w:rsidR="00F730C9" w:rsidRDefault="005C6716" w:rsidP="00F730C9">
      <w:pPr>
        <w:ind w:left="1440" w:right="-450"/>
      </w:pPr>
      <w:r w:rsidRPr="00F730C9">
        <w:rPr>
          <w:u w:val="single" w:color="FF0000"/>
        </w:rPr>
        <w:t>ACLU position is too extreme</w:t>
      </w:r>
      <w:r>
        <w:t xml:space="preserve"> (that collateral estoppel is the only applicable preclusion doctrine in 1983)</w:t>
      </w:r>
    </w:p>
    <w:p w:rsidR="00F730C9" w:rsidRPr="00F730C9" w:rsidRDefault="00F730C9" w:rsidP="00F730C9">
      <w:pPr>
        <w:ind w:left="720" w:right="-450"/>
      </w:pPr>
      <w:r>
        <w:rPr>
          <w:u w:color="FF0000"/>
        </w:rPr>
        <w:t>Therefore, could join only a narrow affirming opinion which court will not produce</w:t>
      </w:r>
      <w:r w:rsidR="00F03B63">
        <w:rPr>
          <w:u w:color="FF0000"/>
        </w:rPr>
        <w:t>.</w:t>
      </w:r>
    </w:p>
    <w:p w:rsidR="004A25E8" w:rsidRDefault="00F03B63" w:rsidP="00CE2390">
      <w:pPr>
        <w:ind w:left="720" w:right="-450"/>
      </w:pPr>
      <w:r>
        <w:t xml:space="preserve">An </w:t>
      </w:r>
      <w:r>
        <w:rPr>
          <w:i/>
        </w:rPr>
        <w:t>element</w:t>
      </w:r>
      <w:bookmarkStart w:id="0" w:name="_GoBack"/>
      <w:bookmarkEnd w:id="0"/>
      <w:r w:rsidR="00204925">
        <w:t xml:space="preserve"> of </w:t>
      </w:r>
      <w:r>
        <w:rPr>
          <w:i/>
        </w:rPr>
        <w:t xml:space="preserve">considerable </w:t>
      </w:r>
      <w:r w:rsidR="00204925">
        <w:t>[illegible] here?</w:t>
      </w:r>
    </w:p>
    <w:p w:rsidR="00204925" w:rsidRDefault="00204925" w:rsidP="00204925">
      <w:pPr>
        <w:ind w:right="-450"/>
      </w:pPr>
      <w:r>
        <w:t>Affirm narrow</w:t>
      </w:r>
      <w:r>
        <w:tab/>
      </w:r>
      <w:r>
        <w:tab/>
      </w:r>
      <w:r>
        <w:tab/>
      </w:r>
      <w:r>
        <w:tab/>
      </w:r>
      <w:r>
        <w:tab/>
      </w:r>
      <w:r>
        <w:tab/>
      </w:r>
      <w:r>
        <w:tab/>
      </w:r>
      <w:r>
        <w:tab/>
        <w:t>8 October 1983</w:t>
      </w:r>
    </w:p>
    <w:sectPr w:rsidR="00204925" w:rsidSect="00BD6F32">
      <w:endnotePr>
        <w:numFmt w:val="decimal"/>
      </w:endnotePr>
      <w:type w:val="continuous"/>
      <w:pgSz w:w="12240" w:h="15840"/>
      <w:pgMar w:top="990" w:right="1080" w:bottom="990" w:left="25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0A1" w:rsidRDefault="004810A1" w:rsidP="00E91AFE">
      <w:r>
        <w:separator/>
      </w:r>
    </w:p>
  </w:endnote>
  <w:endnote w:type="continuationSeparator" w:id="0">
    <w:p w:rsidR="004810A1" w:rsidRDefault="004810A1" w:rsidP="00E91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0A1" w:rsidRDefault="004810A1" w:rsidP="00E91AFE">
      <w:r>
        <w:separator/>
      </w:r>
    </w:p>
  </w:footnote>
  <w:footnote w:type="continuationSeparator" w:id="0">
    <w:p w:rsidR="004810A1" w:rsidRDefault="004810A1" w:rsidP="00E91AFE">
      <w:r>
        <w:continuationSeparator/>
      </w:r>
    </w:p>
  </w:footnote>
  <w:footnote w:id="1">
    <w:p w:rsidR="00186F06" w:rsidRDefault="00186F06" w:rsidP="00BE5EE9">
      <w:pPr>
        <w:pStyle w:val="FootnoteText"/>
        <w:ind w:left="-1440"/>
      </w:pPr>
      <w:r>
        <w:rPr>
          <w:rStyle w:val="FootnoteReference"/>
        </w:rPr>
        <w:footnoteRef/>
      </w:r>
      <w:r>
        <w:t xml:space="preserve"> </w:t>
      </w:r>
      <w:r w:rsidRPr="004631EA">
        <w:t xml:space="preserve">Words added by the editor for clarity are enclosed in brackets as are editor comments.  Interpretations of which the editor is particularly uncertain are indicated in italics and alternative interpretations may be indicated in footnotes.  Red and blue underlining appears to have been added in those colors later.  </w:t>
      </w:r>
      <w:r>
        <w:t xml:space="preserve">Text in the left margin is placed approximately where it appears in the document itself.  </w:t>
      </w:r>
      <w:r w:rsidRPr="004631EA">
        <w:t xml:space="preserve">  </w:t>
      </w:r>
    </w:p>
  </w:footnote>
  <w:footnote w:id="2">
    <w:p w:rsidR="00A00D69" w:rsidRPr="00C54D1E" w:rsidRDefault="00A00D69" w:rsidP="00BE5EE9">
      <w:pPr>
        <w:pStyle w:val="FootnoteText"/>
        <w:ind w:left="-1440"/>
      </w:pPr>
      <w:r>
        <w:rPr>
          <w:rStyle w:val="FootnoteReference"/>
        </w:rPr>
        <w:footnoteRef/>
      </w:r>
      <w:r w:rsidR="00743F0F">
        <w:t xml:space="preserve"> Allen v. McCurry, 449 U.S. 90, 105 (1980) (Blackmun, J. dissenting). </w:t>
      </w:r>
      <w:r w:rsidR="00C54D1E">
        <w:t xml:space="preserve"> Blackmun’s dissent in Allen argued that</w:t>
      </w:r>
      <w:r w:rsidR="0069731A">
        <w:t xml:space="preserve"> the history of § 1983 showed that Congress wanted to create a “federal remedy in federal court” for violations of constitutional rights</w:t>
      </w:r>
      <w:r w:rsidR="00743F0F">
        <w:t>, and that prior state court litigation should be given collateral estoppel effect only in narrow circumstances in which the plaintiff voluntarily litigated the issue in state court</w:t>
      </w:r>
      <w:r w:rsidR="00C54D1E">
        <w:t xml:space="preserve">.  To review Petition to Decision’s discussion of Allen click </w:t>
      </w:r>
      <w:hyperlink r:id="rId1" w:history="1">
        <w:r w:rsidR="00C54D1E" w:rsidRPr="00C54D1E">
          <w:rPr>
            <w:rStyle w:val="Hyperlink"/>
          </w:rPr>
          <w:t>here</w:t>
        </w:r>
      </w:hyperlink>
      <w:r w:rsidR="00C54D1E">
        <w:t xml:space="preserve">. </w:t>
      </w:r>
    </w:p>
  </w:footnote>
  <w:footnote w:id="3">
    <w:p w:rsidR="000362DC" w:rsidRDefault="000362DC" w:rsidP="000362DC">
      <w:pPr>
        <w:pStyle w:val="FootnoteText"/>
        <w:ind w:left="-1440"/>
      </w:pPr>
      <w:r>
        <w:rPr>
          <w:rStyle w:val="FootnoteReference"/>
        </w:rPr>
        <w:footnoteRef/>
      </w:r>
      <w:r>
        <w:t xml:space="preserve"> Kremer v. Chemical Construction Co., 456 U.S. 461, 486 (1982) (Blackmun, J. dissenting).  Blackmun’s dissent argued that, in Title VII employment discrimination cases, federal courts should not give preclusive effect to </w:t>
      </w:r>
      <w:r w:rsidR="001C7092">
        <w:t xml:space="preserve">a state agency’s adverse findings or to a state court subsequent decision upholding those finding.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EB7"/>
    <w:rsid w:val="000362DC"/>
    <w:rsid w:val="00046340"/>
    <w:rsid w:val="00052AF1"/>
    <w:rsid w:val="00064862"/>
    <w:rsid w:val="00076175"/>
    <w:rsid w:val="000D0E9A"/>
    <w:rsid w:val="000E4BF7"/>
    <w:rsid w:val="000F3554"/>
    <w:rsid w:val="00110297"/>
    <w:rsid w:val="00114F4E"/>
    <w:rsid w:val="00141AA6"/>
    <w:rsid w:val="00144D06"/>
    <w:rsid w:val="00167B39"/>
    <w:rsid w:val="0017071E"/>
    <w:rsid w:val="00186F06"/>
    <w:rsid w:val="0018782B"/>
    <w:rsid w:val="001C7092"/>
    <w:rsid w:val="001D48FC"/>
    <w:rsid w:val="001F2D8E"/>
    <w:rsid w:val="00203335"/>
    <w:rsid w:val="00204925"/>
    <w:rsid w:val="00204973"/>
    <w:rsid w:val="00210EFB"/>
    <w:rsid w:val="002118A2"/>
    <w:rsid w:val="002262C4"/>
    <w:rsid w:val="0024366C"/>
    <w:rsid w:val="002517E9"/>
    <w:rsid w:val="002553BA"/>
    <w:rsid w:val="002C54C1"/>
    <w:rsid w:val="002D04C7"/>
    <w:rsid w:val="002E206A"/>
    <w:rsid w:val="00316357"/>
    <w:rsid w:val="00337B40"/>
    <w:rsid w:val="00356A8E"/>
    <w:rsid w:val="00366462"/>
    <w:rsid w:val="0038051F"/>
    <w:rsid w:val="003B73F0"/>
    <w:rsid w:val="003D4210"/>
    <w:rsid w:val="003D65FB"/>
    <w:rsid w:val="003E1A11"/>
    <w:rsid w:val="0041415D"/>
    <w:rsid w:val="00425FB5"/>
    <w:rsid w:val="00432A49"/>
    <w:rsid w:val="004337AE"/>
    <w:rsid w:val="00446923"/>
    <w:rsid w:val="00447E42"/>
    <w:rsid w:val="00452113"/>
    <w:rsid w:val="004631EA"/>
    <w:rsid w:val="004810A1"/>
    <w:rsid w:val="00486522"/>
    <w:rsid w:val="004A25E8"/>
    <w:rsid w:val="004A497F"/>
    <w:rsid w:val="004C4334"/>
    <w:rsid w:val="004C43A2"/>
    <w:rsid w:val="004C7A92"/>
    <w:rsid w:val="004D742B"/>
    <w:rsid w:val="004F315F"/>
    <w:rsid w:val="00506A59"/>
    <w:rsid w:val="00531440"/>
    <w:rsid w:val="0053763C"/>
    <w:rsid w:val="005448FB"/>
    <w:rsid w:val="00556879"/>
    <w:rsid w:val="00560D38"/>
    <w:rsid w:val="005919A7"/>
    <w:rsid w:val="005977AB"/>
    <w:rsid w:val="005A033F"/>
    <w:rsid w:val="005C6716"/>
    <w:rsid w:val="005F58EE"/>
    <w:rsid w:val="0062125E"/>
    <w:rsid w:val="006222FA"/>
    <w:rsid w:val="00626822"/>
    <w:rsid w:val="00647D48"/>
    <w:rsid w:val="00650432"/>
    <w:rsid w:val="00667E7C"/>
    <w:rsid w:val="006712CF"/>
    <w:rsid w:val="00671892"/>
    <w:rsid w:val="00671CE2"/>
    <w:rsid w:val="00684915"/>
    <w:rsid w:val="0069731A"/>
    <w:rsid w:val="006A283F"/>
    <w:rsid w:val="006B34F1"/>
    <w:rsid w:val="00725274"/>
    <w:rsid w:val="00725C5D"/>
    <w:rsid w:val="00743F0F"/>
    <w:rsid w:val="007473DD"/>
    <w:rsid w:val="00767960"/>
    <w:rsid w:val="00772953"/>
    <w:rsid w:val="007818FD"/>
    <w:rsid w:val="00782808"/>
    <w:rsid w:val="007A1096"/>
    <w:rsid w:val="007B4D9B"/>
    <w:rsid w:val="0082178F"/>
    <w:rsid w:val="008374C4"/>
    <w:rsid w:val="00850F01"/>
    <w:rsid w:val="00851C49"/>
    <w:rsid w:val="008721D2"/>
    <w:rsid w:val="008A1D1D"/>
    <w:rsid w:val="008C6558"/>
    <w:rsid w:val="008C7538"/>
    <w:rsid w:val="00912D95"/>
    <w:rsid w:val="00920342"/>
    <w:rsid w:val="009A47D1"/>
    <w:rsid w:val="009B04F7"/>
    <w:rsid w:val="009C6229"/>
    <w:rsid w:val="009C626D"/>
    <w:rsid w:val="00A00D69"/>
    <w:rsid w:val="00A05FC9"/>
    <w:rsid w:val="00A07262"/>
    <w:rsid w:val="00A24E43"/>
    <w:rsid w:val="00A61237"/>
    <w:rsid w:val="00A716F6"/>
    <w:rsid w:val="00AB6667"/>
    <w:rsid w:val="00AC2BE6"/>
    <w:rsid w:val="00AE1210"/>
    <w:rsid w:val="00AF4F83"/>
    <w:rsid w:val="00B1178C"/>
    <w:rsid w:val="00B2455C"/>
    <w:rsid w:val="00B32E9B"/>
    <w:rsid w:val="00BB1820"/>
    <w:rsid w:val="00BC064A"/>
    <w:rsid w:val="00BD6F32"/>
    <w:rsid w:val="00BE5EE9"/>
    <w:rsid w:val="00C22871"/>
    <w:rsid w:val="00C262AF"/>
    <w:rsid w:val="00C50994"/>
    <w:rsid w:val="00C54D1E"/>
    <w:rsid w:val="00C655DF"/>
    <w:rsid w:val="00C75953"/>
    <w:rsid w:val="00C77CB1"/>
    <w:rsid w:val="00C858E1"/>
    <w:rsid w:val="00CC12B0"/>
    <w:rsid w:val="00CC73EA"/>
    <w:rsid w:val="00CD7363"/>
    <w:rsid w:val="00CE2390"/>
    <w:rsid w:val="00D3688E"/>
    <w:rsid w:val="00D45F8B"/>
    <w:rsid w:val="00D63E65"/>
    <w:rsid w:val="00D72BBA"/>
    <w:rsid w:val="00D9510A"/>
    <w:rsid w:val="00DA125D"/>
    <w:rsid w:val="00DA6D3D"/>
    <w:rsid w:val="00DC45B0"/>
    <w:rsid w:val="00DD57F2"/>
    <w:rsid w:val="00E005AB"/>
    <w:rsid w:val="00E1421C"/>
    <w:rsid w:val="00E31E4C"/>
    <w:rsid w:val="00E34924"/>
    <w:rsid w:val="00E53B06"/>
    <w:rsid w:val="00E649EA"/>
    <w:rsid w:val="00E6612B"/>
    <w:rsid w:val="00E71936"/>
    <w:rsid w:val="00E73A34"/>
    <w:rsid w:val="00E77A93"/>
    <w:rsid w:val="00E87B0C"/>
    <w:rsid w:val="00E87EB7"/>
    <w:rsid w:val="00E91AFE"/>
    <w:rsid w:val="00E95F21"/>
    <w:rsid w:val="00EB6286"/>
    <w:rsid w:val="00F03B63"/>
    <w:rsid w:val="00F4069D"/>
    <w:rsid w:val="00F42A52"/>
    <w:rsid w:val="00F61D9C"/>
    <w:rsid w:val="00F730C9"/>
    <w:rsid w:val="00F83CAA"/>
    <w:rsid w:val="00FA60B8"/>
    <w:rsid w:val="00FB0C9E"/>
    <w:rsid w:val="00FB4F69"/>
    <w:rsid w:val="00FB68A3"/>
    <w:rsid w:val="00FC3E4D"/>
    <w:rsid w:val="00FC745E"/>
    <w:rsid w:val="00FD40FC"/>
    <w:rsid w:val="00FD6CBE"/>
    <w:rsid w:val="00FF44F9"/>
    <w:rsid w:val="00FF5936"/>
    <w:rsid w:val="00FF6BD1"/>
    <w:rsid w:val="00FF6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B88130-5B3D-43D1-B1A4-5C946C1D3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E91AFE"/>
    <w:rPr>
      <w:sz w:val="20"/>
      <w:szCs w:val="20"/>
    </w:rPr>
  </w:style>
  <w:style w:type="character" w:customStyle="1" w:styleId="FootnoteTextChar">
    <w:name w:val="Footnote Text Char"/>
    <w:basedOn w:val="DefaultParagraphFont"/>
    <w:link w:val="FootnoteText"/>
    <w:rsid w:val="00E91AFE"/>
  </w:style>
  <w:style w:type="character" w:styleId="FootnoteReference">
    <w:name w:val="footnote reference"/>
    <w:rsid w:val="00E91AFE"/>
    <w:rPr>
      <w:vertAlign w:val="superscript"/>
    </w:rPr>
  </w:style>
  <w:style w:type="paragraph" w:styleId="EndnoteText">
    <w:name w:val="endnote text"/>
    <w:basedOn w:val="Normal"/>
    <w:link w:val="EndnoteTextChar"/>
    <w:rsid w:val="0053763C"/>
    <w:rPr>
      <w:sz w:val="20"/>
      <w:szCs w:val="20"/>
    </w:rPr>
  </w:style>
  <w:style w:type="character" w:customStyle="1" w:styleId="EndnoteTextChar">
    <w:name w:val="Endnote Text Char"/>
    <w:basedOn w:val="DefaultParagraphFont"/>
    <w:link w:val="EndnoteText"/>
    <w:rsid w:val="0053763C"/>
  </w:style>
  <w:style w:type="character" w:styleId="EndnoteReference">
    <w:name w:val="endnote reference"/>
    <w:rsid w:val="0053763C"/>
    <w:rPr>
      <w:vertAlign w:val="superscript"/>
    </w:rPr>
  </w:style>
  <w:style w:type="paragraph" w:styleId="BalloonText">
    <w:name w:val="Balloon Text"/>
    <w:basedOn w:val="Normal"/>
    <w:link w:val="BalloonTextChar"/>
    <w:rsid w:val="00B2455C"/>
    <w:rPr>
      <w:rFonts w:ascii="Tahoma" w:hAnsi="Tahoma" w:cs="Tahoma"/>
      <w:sz w:val="16"/>
      <w:szCs w:val="16"/>
    </w:rPr>
  </w:style>
  <w:style w:type="character" w:customStyle="1" w:styleId="BalloonTextChar">
    <w:name w:val="Balloon Text Char"/>
    <w:link w:val="BalloonText"/>
    <w:rsid w:val="00B2455C"/>
    <w:rPr>
      <w:rFonts w:ascii="Tahoma" w:hAnsi="Tahoma" w:cs="Tahoma"/>
      <w:sz w:val="16"/>
      <w:szCs w:val="16"/>
    </w:rPr>
  </w:style>
  <w:style w:type="character" w:styleId="Hyperlink">
    <w:name w:val="Hyperlink"/>
    <w:basedOn w:val="DefaultParagraphFont"/>
    <w:unhideWhenUsed/>
    <w:rsid w:val="00C54D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1.law.umkc.edu/justicepapers/AllenDocs/AllenMainPag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FB5FF-D5CF-41B0-A1D4-EC09FE744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86-1088</vt:lpstr>
    </vt:vector>
  </TitlesOfParts>
  <Company>UMKC Information Serivces</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86-1088</dc:title>
  <dc:creator>AchtenbergD</dc:creator>
  <cp:lastModifiedBy>Achtenberg, David</cp:lastModifiedBy>
  <cp:revision>10</cp:revision>
  <dcterms:created xsi:type="dcterms:W3CDTF">2013-08-09T17:03:00Z</dcterms:created>
  <dcterms:modified xsi:type="dcterms:W3CDTF">2015-07-06T20:52:00Z</dcterms:modified>
</cp:coreProperties>
</file>