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26" w:rsidRDefault="001F0626" w:rsidP="001F0626">
      <w:pPr>
        <w:jc w:val="center"/>
        <w:rPr>
          <w:b/>
        </w:rPr>
      </w:pPr>
      <w:r w:rsidRPr="00DB099A">
        <w:rPr>
          <w:b/>
        </w:rPr>
        <w:t>[</w:t>
      </w:r>
      <w:r w:rsidR="00DB099A" w:rsidRPr="00DB099A">
        <w:rPr>
          <w:b/>
        </w:rPr>
        <w:t xml:space="preserve">Blackmun Oral Argument </w:t>
      </w:r>
      <w:r w:rsidRPr="00DB099A">
        <w:rPr>
          <w:b/>
        </w:rPr>
        <w:t xml:space="preserve">Notes </w:t>
      </w:r>
      <w:r w:rsidR="00B84701">
        <w:rPr>
          <w:b/>
        </w:rPr>
        <w:t>10-08-89</w:t>
      </w:r>
      <w:r w:rsidRPr="00DB099A">
        <w:rPr>
          <w:b/>
        </w:rPr>
        <w:t xml:space="preserve"> </w:t>
      </w:r>
      <w:r w:rsidR="00B84701">
        <w:rPr>
          <w:b/>
        </w:rPr>
        <w:t>IMAGE HAB323F090055</w:t>
      </w:r>
      <w:r w:rsidRPr="00DB099A">
        <w:rPr>
          <w:b/>
        </w:rPr>
        <w:t>]</w:t>
      </w:r>
      <w:r w:rsidR="00B12813">
        <w:rPr>
          <w:rStyle w:val="FootnoteReference"/>
          <w:b/>
        </w:rPr>
        <w:footnoteReference w:id="1"/>
      </w:r>
    </w:p>
    <w:p w:rsidR="00323E19" w:rsidRPr="00DB099A" w:rsidRDefault="00323E19" w:rsidP="001F0626">
      <w:pPr>
        <w:jc w:val="center"/>
        <w:rPr>
          <w:b/>
        </w:rPr>
      </w:pPr>
      <w:r w:rsidRPr="00B84701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2BBF4C" wp14:editId="625681A7">
                <wp:simplePos x="0" y="0"/>
                <wp:positionH relativeFrom="column">
                  <wp:posOffset>-796290</wp:posOffset>
                </wp:positionH>
                <wp:positionV relativeFrom="paragraph">
                  <wp:posOffset>243840</wp:posOffset>
                </wp:positionV>
                <wp:extent cx="6964680" cy="5547360"/>
                <wp:effectExtent l="0" t="0" r="26670" b="1524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554736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0C81C" id="Rectangle 50" o:spid="_x0000_s1026" style="position:absolute;margin-left:-62.7pt;margin-top:19.2pt;width:548.4pt;height:43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" filled="f">
                <v:fill opacity="0"/>
              </v:rect>
            </w:pict>
          </mc:Fallback>
        </mc:AlternateContent>
      </w:r>
    </w:p>
    <w:p w:rsidR="0057269F" w:rsidRPr="00DB099A" w:rsidRDefault="0057269F" w:rsidP="004E2370">
      <w:pPr>
        <w:jc w:val="center"/>
        <w:rPr>
          <w:b/>
          <w:u w:val="single"/>
        </w:rPr>
      </w:pPr>
    </w:p>
    <w:p w:rsidR="00323E19" w:rsidRDefault="00323E19" w:rsidP="00B84701">
      <w:pPr>
        <w:rPr>
          <w:smallCaps/>
        </w:rPr>
      </w:pPr>
    </w:p>
    <w:p w:rsidR="0057269F" w:rsidRDefault="00B84701" w:rsidP="00B84701">
      <w:pPr>
        <w:rPr>
          <w:b/>
        </w:rPr>
      </w:pPr>
      <w:r w:rsidRPr="00B84701">
        <w:rPr>
          <w:smallCaps/>
        </w:rPr>
        <w:t>No. 79-935</w:t>
      </w:r>
      <w:r>
        <w:rPr>
          <w:b/>
        </w:rPr>
        <w:tab/>
      </w:r>
      <w:r w:rsidRPr="00B84701">
        <w:rPr>
          <w:smallCaps/>
        </w:rPr>
        <w:t>Allen v. McCurry</w:t>
      </w:r>
    </w:p>
    <w:p w:rsidR="00B84701" w:rsidRDefault="00B84701" w:rsidP="00B84701">
      <w:pPr>
        <w:rPr>
          <w:smallCaps/>
        </w:rPr>
      </w:pPr>
      <w:r w:rsidRPr="00B84701">
        <w:rPr>
          <w:b/>
          <w:smallCaps/>
        </w:rPr>
        <w:tab/>
      </w:r>
      <w:r w:rsidRPr="00B84701">
        <w:rPr>
          <w:b/>
          <w:smallCaps/>
        </w:rPr>
        <w:tab/>
      </w:r>
      <w:r w:rsidRPr="00B84701">
        <w:rPr>
          <w:smallCaps/>
        </w:rPr>
        <w:t xml:space="preserve">Argued: October </w:t>
      </w:r>
      <w:r w:rsidRPr="00B84701">
        <w:rPr>
          <w:u w:val="single"/>
        </w:rPr>
        <w:t>8</w:t>
      </w:r>
      <w:r w:rsidRPr="00B84701">
        <w:rPr>
          <w:smallCaps/>
        </w:rPr>
        <w:t>, 1980</w:t>
      </w:r>
    </w:p>
    <w:p w:rsidR="00B84701" w:rsidRDefault="00B84701" w:rsidP="00B84701">
      <w:pPr>
        <w:rPr>
          <w:smallCaps/>
        </w:rPr>
      </w:pPr>
    </w:p>
    <w:p w:rsidR="00B84701" w:rsidRDefault="00D00D7E" w:rsidP="006477B4">
      <w:pPr>
        <w:ind w:left="630" w:hanging="990"/>
      </w:pPr>
      <w:r>
        <w:t xml:space="preserve">11:05  </w:t>
      </w:r>
      <w:r>
        <w:tab/>
        <w:t>Mr. FitzGibbon</w:t>
      </w:r>
      <w:r w:rsidR="006477B4">
        <w:t xml:space="preserve"> </w:t>
      </w:r>
      <w:r>
        <w:tab/>
        <w:t>#3</w:t>
      </w:r>
      <w:r>
        <w:tab/>
      </w:r>
      <w:r>
        <w:tab/>
      </w:r>
      <w:r>
        <w:tab/>
      </w:r>
      <w:r>
        <w:tab/>
      </w:r>
      <w:r>
        <w:tab/>
        <w:t>slow blue collar</w:t>
      </w:r>
    </w:p>
    <w:p w:rsidR="00D00D7E" w:rsidRDefault="00D00D7E" w:rsidP="00763955">
      <w:pPr>
        <w:ind w:left="2070" w:hanging="1440"/>
      </w:pPr>
      <w:r>
        <w:t>Justice White: Suppose the damage action were in state courts.  Missouri court would dismiss on collateral estoppel grounds</w:t>
      </w:r>
    </w:p>
    <w:p w:rsidR="00D00D7E" w:rsidRDefault="00D00D7E" w:rsidP="00763955">
      <w:pPr>
        <w:ind w:left="2070" w:hanging="990"/>
      </w:pPr>
      <w:r>
        <w:tab/>
        <w:t>But a matter of federal law</w:t>
      </w:r>
    </w:p>
    <w:p w:rsidR="002438B1" w:rsidRDefault="002438B1" w:rsidP="00763955">
      <w:pPr>
        <w:ind w:left="1980" w:hanging="1350"/>
      </w:pPr>
    </w:p>
    <w:p w:rsidR="00763955" w:rsidRPr="00763955" w:rsidRDefault="00D00D7E" w:rsidP="00763955">
      <w:pPr>
        <w:ind w:left="1980" w:hanging="1350"/>
        <w:rPr>
          <w:i/>
          <w:color w:val="00B050"/>
        </w:rPr>
      </w:pPr>
      <w:r>
        <w:t>Justice Rehnquist: Stefan</w:t>
      </w:r>
      <w:r w:rsidR="003A1472">
        <w:t>elli v. Mi</w:t>
      </w:r>
      <w:r>
        <w:t>nard 342 U.S.</w:t>
      </w:r>
      <w:r>
        <w:rPr>
          <w:rStyle w:val="FootnoteReference"/>
        </w:rPr>
        <w:footnoteReference w:id="2"/>
      </w:r>
      <w:r>
        <w:t xml:space="preserve"> </w:t>
      </w:r>
      <w:r w:rsidR="00763955">
        <w:t xml:space="preserve">  </w:t>
      </w:r>
      <w:r w:rsidR="00763955">
        <w:rPr>
          <w:color w:val="00B050"/>
        </w:rPr>
        <w:tab/>
        <w:t xml:space="preserve">check this if I </w:t>
      </w:r>
      <w:r w:rsidR="00763955">
        <w:rPr>
          <w:i/>
          <w:color w:val="00B050"/>
        </w:rPr>
        <w:t>catch</w:t>
      </w:r>
      <w:r w:rsidR="00763955">
        <w:rPr>
          <w:rStyle w:val="FootnoteReference"/>
          <w:i/>
          <w:color w:val="00B050"/>
        </w:rPr>
        <w:footnoteReference w:id="3"/>
      </w:r>
    </w:p>
    <w:p w:rsidR="002438B1" w:rsidRDefault="002438B1" w:rsidP="00763955">
      <w:pPr>
        <w:ind w:left="1980" w:right="-810" w:hanging="1350"/>
      </w:pPr>
      <w:r>
        <w:t xml:space="preserve">Justice Stevens: </w:t>
      </w:r>
      <w:r w:rsidR="00763955">
        <w:rPr>
          <w:i/>
        </w:rPr>
        <w:t>Suppose</w:t>
      </w:r>
      <w:r w:rsidR="00763955">
        <w:t xml:space="preserve"> </w:t>
      </w:r>
      <w:r w:rsidR="00763955">
        <w:rPr>
          <w:i/>
        </w:rPr>
        <w:t>subsequent</w:t>
      </w:r>
      <w:r w:rsidR="00763955">
        <w:t xml:space="preserve"> federal prosecution after suppression in state court. Collateral estoppel?  Yes if a full and fair hearing in the state court. !!</w:t>
      </w:r>
    </w:p>
    <w:p w:rsidR="00763955" w:rsidRDefault="00763955" w:rsidP="00763955">
      <w:pPr>
        <w:ind w:left="1980" w:right="-810" w:hanging="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11:34</w:t>
      </w:r>
    </w:p>
    <w:p w:rsidR="00CF25BC" w:rsidRDefault="00CF25BC" w:rsidP="006477B4">
      <w:pPr>
        <w:ind w:left="630" w:right="-810" w:hanging="990"/>
      </w:pPr>
    </w:p>
    <w:p w:rsidR="006477B4" w:rsidRDefault="006477B4" w:rsidP="006477B4">
      <w:pPr>
        <w:ind w:left="630" w:right="-810" w:hanging="990"/>
      </w:pPr>
      <w:r>
        <w:t>11:35</w:t>
      </w:r>
      <w:r>
        <w:tab/>
        <w:t>Mr. Shank</w:t>
      </w:r>
      <w:r>
        <w:tab/>
        <w:t xml:space="preserve"> </w:t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  <w:t>young hesitant</w:t>
      </w:r>
    </w:p>
    <w:p w:rsidR="006477B4" w:rsidRDefault="006477B4" w:rsidP="006477B4">
      <w:pPr>
        <w:ind w:left="630" w:right="-810" w:hanging="990"/>
        <w:rPr>
          <w:color w:val="00B050"/>
        </w:rPr>
      </w:pPr>
      <w:r>
        <w:tab/>
      </w:r>
      <w:r>
        <w:rPr>
          <w:color w:val="00B050"/>
        </w:rPr>
        <w:t>Many questions</w:t>
      </w:r>
    </w:p>
    <w:p w:rsidR="006477B4" w:rsidRDefault="006477B4" w:rsidP="006477B4">
      <w:pPr>
        <w:ind w:left="630" w:right="-810" w:hanging="990"/>
      </w:pPr>
      <w:r>
        <w:rPr>
          <w:color w:val="00B050"/>
        </w:rPr>
        <w:tab/>
      </w:r>
      <w:r>
        <w:t>Johnson v. Me</w:t>
      </w:r>
      <w:r w:rsidR="00A45505">
        <w:t>teer, Ninth Circuit 625 F.2d 248</w:t>
      </w:r>
      <w:r w:rsidR="00A45505">
        <w:rPr>
          <w:rStyle w:val="FootnoteReference"/>
        </w:rPr>
        <w:footnoteReference w:id="4"/>
      </w:r>
      <w:r>
        <w:tab/>
      </w:r>
      <w:r w:rsidR="00CF25BC">
        <w:tab/>
        <w:t>12:00</w:t>
      </w:r>
    </w:p>
    <w:p w:rsidR="00323E19" w:rsidRDefault="00323E19" w:rsidP="006477B4">
      <w:pPr>
        <w:ind w:left="630" w:right="-810" w:hanging="990"/>
      </w:pPr>
      <w:bookmarkStart w:id="0" w:name="_GoBack"/>
      <w:bookmarkEnd w:id="0"/>
    </w:p>
    <w:p w:rsidR="00CF25BC" w:rsidRDefault="00CF25BC" w:rsidP="006477B4">
      <w:pPr>
        <w:ind w:left="630" w:right="-810" w:hanging="990"/>
      </w:pPr>
    </w:p>
    <w:p w:rsidR="00CF25BC" w:rsidRDefault="00CF25BC" w:rsidP="006477B4">
      <w:pPr>
        <w:ind w:left="630" w:right="-810" w:hanging="990"/>
      </w:pPr>
      <w:r>
        <w:t>1:00</w:t>
      </w:r>
      <w:r>
        <w:tab/>
      </w:r>
      <w:proofErr w:type="gramStart"/>
      <w:r>
        <w:t>The</w:t>
      </w:r>
      <w:proofErr w:type="gramEnd"/>
      <w:r>
        <w:t xml:space="preserve"> federal forum is the focus here</w:t>
      </w:r>
      <w:r>
        <w:tab/>
      </w:r>
      <w:r>
        <w:tab/>
      </w:r>
      <w:r>
        <w:tab/>
      </w:r>
      <w:r>
        <w:tab/>
        <w:t>1:05</w:t>
      </w:r>
    </w:p>
    <w:p w:rsidR="006477B4" w:rsidRDefault="006477B4" w:rsidP="00763955">
      <w:pPr>
        <w:ind w:left="1980" w:right="-810" w:hanging="1350"/>
      </w:pPr>
    </w:p>
    <w:p w:rsidR="006477B4" w:rsidRPr="00763955" w:rsidRDefault="006477B4" w:rsidP="00763955">
      <w:pPr>
        <w:ind w:left="1980" w:right="-810" w:hanging="1350"/>
      </w:pPr>
    </w:p>
    <w:p w:rsidR="00D0291B" w:rsidRPr="00DB099A" w:rsidRDefault="00D0291B"/>
    <w:sectPr w:rsidR="00D0291B" w:rsidRPr="00DB099A" w:rsidSect="006477B4">
      <w:pgSz w:w="12240" w:h="15840"/>
      <w:pgMar w:top="1440" w:right="180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0C" w:rsidRDefault="00B1180C">
      <w:r>
        <w:separator/>
      </w:r>
    </w:p>
  </w:endnote>
  <w:endnote w:type="continuationSeparator" w:id="0">
    <w:p w:rsidR="00B1180C" w:rsidRDefault="00B1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0C" w:rsidRDefault="00B1180C">
      <w:r>
        <w:separator/>
      </w:r>
    </w:p>
  </w:footnote>
  <w:footnote w:type="continuationSeparator" w:id="0">
    <w:p w:rsidR="00B1180C" w:rsidRDefault="00B1180C">
      <w:r>
        <w:continuationSeparator/>
      </w:r>
    </w:p>
  </w:footnote>
  <w:footnote w:id="1">
    <w:p w:rsidR="00B12813" w:rsidRDefault="00B128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AB4">
        <w:t xml:space="preserve">Words added by the editor for clarity are enclosed in brackets as are editor comments. </w:t>
      </w:r>
      <w:r>
        <w:t xml:space="preserve">All footnotes have been added by the editor.  </w:t>
      </w:r>
      <w:r w:rsidRPr="001C0AB4">
        <w:t xml:space="preserve">Interpretations of which the editor is particularly uncertain are indicated in italics and alternative interpretations may be indicated in footnotes.  Items in </w:t>
      </w:r>
      <w:r w:rsidRPr="001C0AB4">
        <w:rPr>
          <w:smallCaps/>
        </w:rPr>
        <w:t>small caps</w:t>
      </w:r>
      <w:r w:rsidRPr="001C0AB4">
        <w:t xml:space="preserve"> were printed or typed in the original rather than handwritten.</w:t>
      </w:r>
      <w:r w:rsidR="00B84701">
        <w:t xml:space="preserve">  Items in green were in green in the original.</w:t>
      </w:r>
    </w:p>
  </w:footnote>
  <w:footnote w:id="2">
    <w:p w:rsidR="00D00D7E" w:rsidRDefault="00D00D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1472">
        <w:t xml:space="preserve">Presumably referring to </w:t>
      </w:r>
      <w:r>
        <w:t>Stefanelli</w:t>
      </w:r>
      <w:r w:rsidR="003A1472">
        <w:t xml:space="preserve"> v. Minard, 342 U.S. 117 (1951), which held that, </w:t>
      </w:r>
      <w:r w:rsidR="00B04146">
        <w:t xml:space="preserve">in </w:t>
      </w:r>
      <w:r w:rsidR="00B04146">
        <w:t>§1983</w:t>
      </w:r>
      <w:r w:rsidR="00B04146">
        <w:t xml:space="preserve"> suits,</w:t>
      </w:r>
      <w:r w:rsidR="00B04146">
        <w:t xml:space="preserve"> </w:t>
      </w:r>
      <w:r w:rsidR="00B04146">
        <w:t xml:space="preserve">federal courts—as a matter of equitable discretion—should not enjoin the use of </w:t>
      </w:r>
      <w:r w:rsidR="003A1472">
        <w:t xml:space="preserve">unconstitutionally seized </w:t>
      </w:r>
      <w:r w:rsidR="00B04146">
        <w:t xml:space="preserve">evidence.  Stefanelli was a precursor of the Younger </w:t>
      </w:r>
      <w:r w:rsidR="002438B1">
        <w:t xml:space="preserve">v. Harris, 401 U.S. 37 (1971) which proscribed most federal injunctions of pending state criminal proceedings.  </w:t>
      </w:r>
      <w:r w:rsidR="00B04146">
        <w:t xml:space="preserve"> </w:t>
      </w:r>
      <w:r w:rsidR="003A1472">
        <w:t xml:space="preserve"> </w:t>
      </w:r>
    </w:p>
  </w:footnote>
  <w:footnote w:id="3">
    <w:p w:rsidR="00763955" w:rsidRDefault="00763955">
      <w:pPr>
        <w:pStyle w:val="FootnoteText"/>
      </w:pPr>
      <w:r>
        <w:rPr>
          <w:rStyle w:val="FootnoteReference"/>
        </w:rPr>
        <w:footnoteRef/>
      </w:r>
      <w:r>
        <w:t xml:space="preserve"> The positioning of this note makes it unclear whether it refers to Justice Rehnquist’s comment or Justice Stevens’.</w:t>
      </w:r>
    </w:p>
  </w:footnote>
  <w:footnote w:id="4">
    <w:p w:rsidR="00A45505" w:rsidRDefault="00A45505">
      <w:pPr>
        <w:pStyle w:val="FootnoteText"/>
      </w:pPr>
      <w:r>
        <w:rPr>
          <w:rStyle w:val="FootnoteReference"/>
        </w:rPr>
        <w:footnoteRef/>
      </w:r>
      <w:r>
        <w:t xml:space="preserve"> Presumably, Johnson v. Meteer, 625 F.2d 311 (9th Cir. 1980), a case which closely tracked Justice Blackmun’s own conclusion that, while collateral estoppel </w:t>
      </w:r>
      <w:r w:rsidR="00B74E90">
        <w:t xml:space="preserve">in 1983 cases </w:t>
      </w:r>
      <w:r>
        <w:t xml:space="preserve">might be appropriate </w:t>
      </w:r>
      <w:r w:rsidR="00B74E90">
        <w:t xml:space="preserve">if the current plaintiff had previously voluntarily litigated the issue in a prior state civil action, it should not be applied to bar relitigation if the current plaintiff had litigated the issue in a suppression hearing in a previous state criminal prosecution.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8A"/>
    <w:rsid w:val="000059E8"/>
    <w:rsid w:val="00030E70"/>
    <w:rsid w:val="00045B46"/>
    <w:rsid w:val="00046340"/>
    <w:rsid w:val="00057F98"/>
    <w:rsid w:val="00064862"/>
    <w:rsid w:val="000736FB"/>
    <w:rsid w:val="00076175"/>
    <w:rsid w:val="00082CAE"/>
    <w:rsid w:val="000859F7"/>
    <w:rsid w:val="00085CB3"/>
    <w:rsid w:val="000D0310"/>
    <w:rsid w:val="000D0FD8"/>
    <w:rsid w:val="000F3554"/>
    <w:rsid w:val="00110297"/>
    <w:rsid w:val="00114F4E"/>
    <w:rsid w:val="00121ABC"/>
    <w:rsid w:val="00123868"/>
    <w:rsid w:val="001342C4"/>
    <w:rsid w:val="00140B70"/>
    <w:rsid w:val="00141AA6"/>
    <w:rsid w:val="00142821"/>
    <w:rsid w:val="001473FD"/>
    <w:rsid w:val="0017071E"/>
    <w:rsid w:val="00173814"/>
    <w:rsid w:val="001804ED"/>
    <w:rsid w:val="001861CE"/>
    <w:rsid w:val="0018782B"/>
    <w:rsid w:val="001900BC"/>
    <w:rsid w:val="00191754"/>
    <w:rsid w:val="00191963"/>
    <w:rsid w:val="001A237D"/>
    <w:rsid w:val="001C0AB4"/>
    <w:rsid w:val="001D48FC"/>
    <w:rsid w:val="001E1743"/>
    <w:rsid w:val="001F0626"/>
    <w:rsid w:val="001F2D8E"/>
    <w:rsid w:val="00204973"/>
    <w:rsid w:val="00206C85"/>
    <w:rsid w:val="00207111"/>
    <w:rsid w:val="002118A2"/>
    <w:rsid w:val="002123BD"/>
    <w:rsid w:val="002262C4"/>
    <w:rsid w:val="00227FC7"/>
    <w:rsid w:val="002433FC"/>
    <w:rsid w:val="0024366C"/>
    <w:rsid w:val="002438B1"/>
    <w:rsid w:val="002517E9"/>
    <w:rsid w:val="002553BA"/>
    <w:rsid w:val="00255AE5"/>
    <w:rsid w:val="002751D2"/>
    <w:rsid w:val="002759A1"/>
    <w:rsid w:val="00275E3D"/>
    <w:rsid w:val="00277D39"/>
    <w:rsid w:val="00294041"/>
    <w:rsid w:val="002A3C64"/>
    <w:rsid w:val="002B526D"/>
    <w:rsid w:val="002C54C1"/>
    <w:rsid w:val="002C6C85"/>
    <w:rsid w:val="002D1D98"/>
    <w:rsid w:val="002E206A"/>
    <w:rsid w:val="002F298C"/>
    <w:rsid w:val="002F43A6"/>
    <w:rsid w:val="002F587E"/>
    <w:rsid w:val="002F7296"/>
    <w:rsid w:val="002F73C1"/>
    <w:rsid w:val="00300B1C"/>
    <w:rsid w:val="00316357"/>
    <w:rsid w:val="00323E19"/>
    <w:rsid w:val="003338AC"/>
    <w:rsid w:val="00337B40"/>
    <w:rsid w:val="00343B88"/>
    <w:rsid w:val="00344E11"/>
    <w:rsid w:val="00355ED7"/>
    <w:rsid w:val="00356A8E"/>
    <w:rsid w:val="00366462"/>
    <w:rsid w:val="0038051F"/>
    <w:rsid w:val="0038765F"/>
    <w:rsid w:val="00397263"/>
    <w:rsid w:val="003A1472"/>
    <w:rsid w:val="003B216A"/>
    <w:rsid w:val="003D4210"/>
    <w:rsid w:val="003D65FB"/>
    <w:rsid w:val="003E5D54"/>
    <w:rsid w:val="00403A8B"/>
    <w:rsid w:val="0041415D"/>
    <w:rsid w:val="00425FB5"/>
    <w:rsid w:val="00447B9B"/>
    <w:rsid w:val="004604F8"/>
    <w:rsid w:val="00461A7B"/>
    <w:rsid w:val="00490A6B"/>
    <w:rsid w:val="00491F52"/>
    <w:rsid w:val="004B0CF1"/>
    <w:rsid w:val="004B5AF1"/>
    <w:rsid w:val="004C4334"/>
    <w:rsid w:val="004C7A92"/>
    <w:rsid w:val="004E2370"/>
    <w:rsid w:val="004F0CF0"/>
    <w:rsid w:val="004F7F69"/>
    <w:rsid w:val="00506A59"/>
    <w:rsid w:val="00513283"/>
    <w:rsid w:val="005145DA"/>
    <w:rsid w:val="00524CFE"/>
    <w:rsid w:val="00531440"/>
    <w:rsid w:val="005404D0"/>
    <w:rsid w:val="005427BF"/>
    <w:rsid w:val="005448FB"/>
    <w:rsid w:val="00556879"/>
    <w:rsid w:val="00561231"/>
    <w:rsid w:val="00563189"/>
    <w:rsid w:val="0056457C"/>
    <w:rsid w:val="0057269F"/>
    <w:rsid w:val="0058567C"/>
    <w:rsid w:val="00595DCE"/>
    <w:rsid w:val="005A033F"/>
    <w:rsid w:val="005A1984"/>
    <w:rsid w:val="005C60FC"/>
    <w:rsid w:val="005C722D"/>
    <w:rsid w:val="005E0608"/>
    <w:rsid w:val="006052AB"/>
    <w:rsid w:val="0062125E"/>
    <w:rsid w:val="006477B4"/>
    <w:rsid w:val="00647D48"/>
    <w:rsid w:val="00650432"/>
    <w:rsid w:val="00652E4E"/>
    <w:rsid w:val="006537B2"/>
    <w:rsid w:val="0066066D"/>
    <w:rsid w:val="00665CE9"/>
    <w:rsid w:val="00667E7C"/>
    <w:rsid w:val="00683003"/>
    <w:rsid w:val="00684915"/>
    <w:rsid w:val="006B02D0"/>
    <w:rsid w:val="006B34F1"/>
    <w:rsid w:val="006B40ED"/>
    <w:rsid w:val="006D03B0"/>
    <w:rsid w:val="006F7FC4"/>
    <w:rsid w:val="00725C5D"/>
    <w:rsid w:val="007473DD"/>
    <w:rsid w:val="00763955"/>
    <w:rsid w:val="00767960"/>
    <w:rsid w:val="00767BDF"/>
    <w:rsid w:val="00772953"/>
    <w:rsid w:val="0078525E"/>
    <w:rsid w:val="007B4D9B"/>
    <w:rsid w:val="007C3DD3"/>
    <w:rsid w:val="007D6A1F"/>
    <w:rsid w:val="007E1067"/>
    <w:rsid w:val="007E10CA"/>
    <w:rsid w:val="00805FD1"/>
    <w:rsid w:val="008374C4"/>
    <w:rsid w:val="0085075A"/>
    <w:rsid w:val="00850F01"/>
    <w:rsid w:val="00851C49"/>
    <w:rsid w:val="00857C5E"/>
    <w:rsid w:val="0086367A"/>
    <w:rsid w:val="008721D2"/>
    <w:rsid w:val="008760DB"/>
    <w:rsid w:val="008778B3"/>
    <w:rsid w:val="00892745"/>
    <w:rsid w:val="008A1D1D"/>
    <w:rsid w:val="008C3169"/>
    <w:rsid w:val="008C6558"/>
    <w:rsid w:val="008C7538"/>
    <w:rsid w:val="008F431F"/>
    <w:rsid w:val="00912D95"/>
    <w:rsid w:val="00920342"/>
    <w:rsid w:val="00931215"/>
    <w:rsid w:val="009422D1"/>
    <w:rsid w:val="009423A5"/>
    <w:rsid w:val="00945D13"/>
    <w:rsid w:val="00987A71"/>
    <w:rsid w:val="009902A9"/>
    <w:rsid w:val="009A01DB"/>
    <w:rsid w:val="009A47D1"/>
    <w:rsid w:val="009A63B4"/>
    <w:rsid w:val="009B7DDA"/>
    <w:rsid w:val="009C626D"/>
    <w:rsid w:val="009F2487"/>
    <w:rsid w:val="009F7F77"/>
    <w:rsid w:val="00A0041C"/>
    <w:rsid w:val="00A07262"/>
    <w:rsid w:val="00A12BCB"/>
    <w:rsid w:val="00A16C4F"/>
    <w:rsid w:val="00A24E43"/>
    <w:rsid w:val="00A27D99"/>
    <w:rsid w:val="00A40FDC"/>
    <w:rsid w:val="00A44A09"/>
    <w:rsid w:val="00A45505"/>
    <w:rsid w:val="00A61237"/>
    <w:rsid w:val="00A716F6"/>
    <w:rsid w:val="00A92547"/>
    <w:rsid w:val="00AB6667"/>
    <w:rsid w:val="00AC2BE6"/>
    <w:rsid w:val="00AF4F83"/>
    <w:rsid w:val="00B02ADC"/>
    <w:rsid w:val="00B03F6E"/>
    <w:rsid w:val="00B04146"/>
    <w:rsid w:val="00B1180C"/>
    <w:rsid w:val="00B12813"/>
    <w:rsid w:val="00B220E1"/>
    <w:rsid w:val="00B32E9B"/>
    <w:rsid w:val="00B373D9"/>
    <w:rsid w:val="00B5238A"/>
    <w:rsid w:val="00B74E90"/>
    <w:rsid w:val="00B839BF"/>
    <w:rsid w:val="00B84701"/>
    <w:rsid w:val="00B849D6"/>
    <w:rsid w:val="00BB015C"/>
    <w:rsid w:val="00BB4B87"/>
    <w:rsid w:val="00BC064A"/>
    <w:rsid w:val="00BC1B6C"/>
    <w:rsid w:val="00BF0E5B"/>
    <w:rsid w:val="00C151CC"/>
    <w:rsid w:val="00C22871"/>
    <w:rsid w:val="00C444D8"/>
    <w:rsid w:val="00C541CE"/>
    <w:rsid w:val="00C627AA"/>
    <w:rsid w:val="00C655DF"/>
    <w:rsid w:val="00C75953"/>
    <w:rsid w:val="00C77CB1"/>
    <w:rsid w:val="00C8368F"/>
    <w:rsid w:val="00CA2235"/>
    <w:rsid w:val="00CA3C93"/>
    <w:rsid w:val="00CB7CF9"/>
    <w:rsid w:val="00CB7F98"/>
    <w:rsid w:val="00CC12B0"/>
    <w:rsid w:val="00CD30EA"/>
    <w:rsid w:val="00CD77A9"/>
    <w:rsid w:val="00CF013D"/>
    <w:rsid w:val="00CF1D09"/>
    <w:rsid w:val="00CF25BC"/>
    <w:rsid w:val="00D00D7E"/>
    <w:rsid w:val="00D0291B"/>
    <w:rsid w:val="00D06940"/>
    <w:rsid w:val="00D11999"/>
    <w:rsid w:val="00D31C2C"/>
    <w:rsid w:val="00D45F8B"/>
    <w:rsid w:val="00D62999"/>
    <w:rsid w:val="00D67DDC"/>
    <w:rsid w:val="00D71566"/>
    <w:rsid w:val="00D72BBA"/>
    <w:rsid w:val="00D751B1"/>
    <w:rsid w:val="00D85CFC"/>
    <w:rsid w:val="00D87865"/>
    <w:rsid w:val="00DA125D"/>
    <w:rsid w:val="00DA1D0A"/>
    <w:rsid w:val="00DA3491"/>
    <w:rsid w:val="00DA6D3D"/>
    <w:rsid w:val="00DB099A"/>
    <w:rsid w:val="00DB11CC"/>
    <w:rsid w:val="00DC45B0"/>
    <w:rsid w:val="00DC64C5"/>
    <w:rsid w:val="00DD57F2"/>
    <w:rsid w:val="00DD6127"/>
    <w:rsid w:val="00E005AB"/>
    <w:rsid w:val="00E13708"/>
    <w:rsid w:val="00E26780"/>
    <w:rsid w:val="00E34924"/>
    <w:rsid w:val="00E34941"/>
    <w:rsid w:val="00E41D0D"/>
    <w:rsid w:val="00E47823"/>
    <w:rsid w:val="00E71936"/>
    <w:rsid w:val="00E77A93"/>
    <w:rsid w:val="00E87B0C"/>
    <w:rsid w:val="00EA55B5"/>
    <w:rsid w:val="00EB10CA"/>
    <w:rsid w:val="00EB6286"/>
    <w:rsid w:val="00ED368F"/>
    <w:rsid w:val="00F26F09"/>
    <w:rsid w:val="00F4069D"/>
    <w:rsid w:val="00F42A52"/>
    <w:rsid w:val="00F635C1"/>
    <w:rsid w:val="00F6431D"/>
    <w:rsid w:val="00F71BA0"/>
    <w:rsid w:val="00F83793"/>
    <w:rsid w:val="00F94519"/>
    <w:rsid w:val="00FA1F6A"/>
    <w:rsid w:val="00FA6FD7"/>
    <w:rsid w:val="00FB0C9E"/>
    <w:rsid w:val="00FB232D"/>
    <w:rsid w:val="00FB4F69"/>
    <w:rsid w:val="00FB68A3"/>
    <w:rsid w:val="00FC745E"/>
    <w:rsid w:val="00FD31FF"/>
    <w:rsid w:val="00FD3CEE"/>
    <w:rsid w:val="00FD40FC"/>
    <w:rsid w:val="00FD6CBE"/>
    <w:rsid w:val="00FF44F9"/>
    <w:rsid w:val="00FF6BD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pacity="0" on="f"/>
    </o:shapedefaults>
    <o:shapelayout v:ext="edit">
      <o:idmap v:ext="edit" data="1"/>
    </o:shapelayout>
  </w:shapeDefaults>
  <w:decimalSymbol w:val="."/>
  <w:listSeparator w:val=","/>
  <w15:chartTrackingRefBased/>
  <w15:docId w15:val="{EAF187DE-4636-404B-9602-9B145EDD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8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3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43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431F"/>
    <w:rPr>
      <w:vertAlign w:val="superscript"/>
    </w:rPr>
  </w:style>
  <w:style w:type="character" w:styleId="CommentReference">
    <w:name w:val="annotation reference"/>
    <w:basedOn w:val="DefaultParagraphFont"/>
    <w:semiHidden/>
    <w:rsid w:val="0085075A"/>
    <w:rPr>
      <w:sz w:val="16"/>
      <w:szCs w:val="16"/>
    </w:rPr>
  </w:style>
  <w:style w:type="paragraph" w:styleId="CommentText">
    <w:name w:val="annotation text"/>
    <w:basedOn w:val="Normal"/>
    <w:semiHidden/>
    <w:rsid w:val="0085075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075A"/>
    <w:rPr>
      <w:b/>
      <w:bCs/>
    </w:rPr>
  </w:style>
  <w:style w:type="paragraph" w:styleId="BalloonText">
    <w:name w:val="Balloon Text"/>
    <w:basedOn w:val="Normal"/>
    <w:semiHidden/>
    <w:rsid w:val="0085075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HAB258F20053-54 – [HAB’s docket sheet and notes on 11/4 Conference]</vt:lpstr>
    </vt:vector>
  </TitlesOfParts>
  <Company>UMKC Information Serivces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HAB258F20053-54 – [HAB’s docket sheet and notes on 11/4 Conference]</dc:title>
  <dc:subject/>
  <dc:creator>AchtenbergD</dc:creator>
  <cp:keywords/>
  <dc:description/>
  <cp:lastModifiedBy>Achtenberg, David</cp:lastModifiedBy>
  <cp:revision>5</cp:revision>
  <dcterms:created xsi:type="dcterms:W3CDTF">2014-10-06T22:22:00Z</dcterms:created>
  <dcterms:modified xsi:type="dcterms:W3CDTF">2014-10-06T23:20:00Z</dcterms:modified>
</cp:coreProperties>
</file>