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26" w:rsidRPr="00636AE0" w:rsidRDefault="001F0626" w:rsidP="001F0626">
      <w:pPr>
        <w:jc w:val="center"/>
        <w:rPr>
          <w:b/>
        </w:rPr>
      </w:pPr>
      <w:r w:rsidRPr="00636AE0">
        <w:rPr>
          <w:b/>
        </w:rPr>
        <w:t>[</w:t>
      </w:r>
      <w:r w:rsidR="00191963" w:rsidRPr="00636AE0">
        <w:rPr>
          <w:b/>
        </w:rPr>
        <w:t>B</w:t>
      </w:r>
      <w:r w:rsidR="00636AE0" w:rsidRPr="00636AE0">
        <w:rPr>
          <w:b/>
        </w:rPr>
        <w:t>lackmun Conference Notes 12</w:t>
      </w:r>
      <w:r w:rsidRPr="00636AE0">
        <w:rPr>
          <w:b/>
        </w:rPr>
        <w:t>-04-</w:t>
      </w:r>
      <w:r w:rsidR="00636AE0" w:rsidRPr="00636AE0">
        <w:rPr>
          <w:b/>
        </w:rPr>
        <w:t>85 HAB439F70051-52</w:t>
      </w:r>
      <w:r w:rsidRPr="00636AE0">
        <w:rPr>
          <w:b/>
        </w:rPr>
        <w:t>]</w:t>
      </w:r>
      <w:r w:rsidR="008F431F" w:rsidRPr="00636AE0">
        <w:rPr>
          <w:rStyle w:val="FootnoteReference"/>
          <w:b/>
        </w:rPr>
        <w:footnoteReference w:id="1"/>
      </w:r>
    </w:p>
    <w:p w:rsidR="001F0626" w:rsidRPr="00636AE0" w:rsidRDefault="001F0626" w:rsidP="001F0626">
      <w:pPr>
        <w:jc w:val="center"/>
        <w:rPr>
          <w:b/>
        </w:rPr>
      </w:pPr>
      <w:r w:rsidRPr="00636AE0">
        <w:rPr>
          <w:b/>
        </w:rPr>
        <w:t xml:space="preserve">[1st Page – Image </w:t>
      </w:r>
      <w:r w:rsidR="00636AE0" w:rsidRPr="00636AE0">
        <w:rPr>
          <w:b/>
        </w:rPr>
        <w:t>HAB439F70051</w:t>
      </w:r>
      <w:r w:rsidR="002F75EC">
        <w:rPr>
          <w:b/>
        </w:rPr>
        <w:t xml:space="preserve"> – Part 1</w:t>
      </w:r>
      <w:r w:rsidRPr="00636AE0">
        <w:rPr>
          <w:b/>
        </w:rPr>
        <w:t>]</w:t>
      </w:r>
      <w:r w:rsidR="002F75EC">
        <w:rPr>
          <w:rStyle w:val="FootnoteReference"/>
          <w:b/>
        </w:rPr>
        <w:footnoteReference w:id="2"/>
      </w:r>
    </w:p>
    <w:p w:rsidR="001342C4" w:rsidRPr="001F0626" w:rsidRDefault="00674676" w:rsidP="001F0626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073" style="position:absolute;left:0;text-align:left;margin-left:-27pt;margin-top:12.6pt;width:7in;height:425.45pt;z-index:-251657728" filled="f">
            <v:fill opacity="0"/>
          </v:rect>
        </w:pict>
      </w:r>
    </w:p>
    <w:p w:rsidR="00B5238A" w:rsidRPr="001C0E8A" w:rsidRDefault="00B5238A" w:rsidP="00B5238A">
      <w:pPr>
        <w:tabs>
          <w:tab w:val="left" w:pos="720"/>
        </w:tabs>
        <w:rPr>
          <w:u w:val="single"/>
        </w:rPr>
      </w:pPr>
    </w:p>
    <w:p w:rsidR="00B5238A" w:rsidRPr="009B7DDA" w:rsidRDefault="00B5238A" w:rsidP="00636AE0">
      <w:pPr>
        <w:tabs>
          <w:tab w:val="left" w:pos="720"/>
          <w:tab w:val="left" w:pos="1440"/>
        </w:tabs>
        <w:jc w:val="center"/>
        <w:rPr>
          <w:smallCaps/>
        </w:rPr>
      </w:pPr>
      <w:r w:rsidRPr="002F75EC">
        <w:rPr>
          <w:smallCaps/>
        </w:rPr>
        <w:t xml:space="preserve">No. </w:t>
      </w:r>
      <w:r w:rsidR="00636AE0" w:rsidRPr="002F75EC">
        <w:rPr>
          <w:smallCaps/>
          <w:u w:val="single"/>
        </w:rPr>
        <w:tab/>
        <w:t>84-1160</w:t>
      </w:r>
      <w:r w:rsidRPr="002F75EC">
        <w:rPr>
          <w:smallCaps/>
        </w:rPr>
        <w:t xml:space="preserve">, </w:t>
      </w:r>
      <w:r w:rsidR="0078525E" w:rsidRPr="002F75EC">
        <w:rPr>
          <w:smallCaps/>
        </w:rPr>
        <w:t xml:space="preserve">  </w:t>
      </w:r>
      <w:r w:rsidR="00636AE0" w:rsidRPr="002F75EC">
        <w:rPr>
          <w:smallCaps/>
          <w:u w:val="single"/>
        </w:rPr>
        <w:tab/>
        <w:t>Pembaur v. Cincinnati</w:t>
      </w:r>
      <w:r w:rsidR="00636AE0">
        <w:rPr>
          <w:smallCaps/>
          <w:u w:val="single"/>
        </w:rPr>
        <w:tab/>
      </w:r>
      <w:r w:rsidR="00636AE0">
        <w:rPr>
          <w:smallCaps/>
          <w:u w:val="single"/>
        </w:rPr>
        <w:tab/>
      </w:r>
      <w:r w:rsidR="00636AE0">
        <w:rPr>
          <w:smallCaps/>
          <w:u w:val="single"/>
        </w:rPr>
        <w:tab/>
      </w:r>
      <w:r w:rsidR="00636AE0">
        <w:rPr>
          <w:smallCaps/>
          <w:u w:val="single"/>
        </w:rPr>
        <w:tab/>
      </w:r>
      <w:r w:rsidR="00636AE0">
        <w:rPr>
          <w:smallCaps/>
          <w:u w:val="single"/>
        </w:rPr>
        <w:tab/>
      </w:r>
      <w:r w:rsidR="00636AE0">
        <w:rPr>
          <w:smallCaps/>
          <w:u w:val="single"/>
        </w:rPr>
        <w:tab/>
      </w:r>
    </w:p>
    <w:p w:rsidR="00FD31FF" w:rsidRPr="003E5D54" w:rsidRDefault="00B5238A" w:rsidP="00B5238A">
      <w:pPr>
        <w:tabs>
          <w:tab w:val="left" w:pos="1800"/>
        </w:tabs>
        <w:ind w:left="1800" w:hanging="180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C1B6C" w:rsidRPr="003E5D54">
        <w:tab/>
      </w:r>
      <w:r w:rsidR="00636AE0">
        <w:t>12-4-85</w:t>
      </w:r>
    </w:p>
    <w:p w:rsidR="003E5D54" w:rsidRDefault="00674676" w:rsidP="00045B46">
      <w:pPr>
        <w:tabs>
          <w:tab w:val="left" w:pos="1800"/>
        </w:tabs>
        <w:ind w:left="1800" w:hanging="1800"/>
        <w:rPr>
          <w:b/>
          <w:smallCaps/>
        </w:rPr>
      </w:pPr>
      <w:r>
        <w:rPr>
          <w:noProof/>
        </w:rPr>
        <w:pict>
          <v:line id="_x0000_s1054" style="position:absolute;left:0;text-align:left;z-index:251653632" from="-9pt,7.2pt" to="6in,7.2pt">
            <w10:wrap type="square"/>
          </v:line>
        </w:pict>
      </w:r>
      <w:r w:rsidR="00FA1F6A" w:rsidRPr="00857C5E">
        <w:rPr>
          <w:b/>
          <w:smallCaps/>
        </w:rPr>
        <w:t>The Chief Justice</w:t>
      </w:r>
      <w:r w:rsidR="005427BF" w:rsidRPr="00857C5E">
        <w:rPr>
          <w:b/>
          <w:smallCaps/>
        </w:rPr>
        <w:tab/>
      </w:r>
      <w:r w:rsidR="00636AE0">
        <w:rPr>
          <w:b/>
          <w:smallCaps/>
        </w:rPr>
        <w:tab/>
      </w:r>
      <w:r w:rsidR="00636AE0" w:rsidRPr="00636AE0">
        <w:t>Affirm</w:t>
      </w:r>
    </w:p>
    <w:p w:rsidR="00857C5E" w:rsidRPr="00636AE0" w:rsidRDefault="00636AE0" w:rsidP="00045B46">
      <w:pPr>
        <w:tabs>
          <w:tab w:val="left" w:pos="1800"/>
        </w:tabs>
        <w:ind w:left="1800" w:hanging="1800"/>
      </w:pPr>
      <w:r>
        <w:t xml:space="preserve">Consistent pattern of </w:t>
      </w:r>
      <w:r w:rsidRPr="00636AE0">
        <w:rPr>
          <w:i/>
        </w:rPr>
        <w:t>mistaken</w:t>
      </w:r>
      <w:r>
        <w:t xml:space="preserve"> advice = a policy</w:t>
      </w:r>
    </w:p>
    <w:p w:rsidR="00857C5E" w:rsidRDefault="00636AE0" w:rsidP="00045B46">
      <w:pPr>
        <w:tabs>
          <w:tab w:val="left" w:pos="1800"/>
        </w:tabs>
        <w:ind w:left="1800" w:hanging="1800"/>
      </w:pPr>
      <w:r>
        <w:t>Facts here suggest ad hoc approval</w:t>
      </w:r>
    </w:p>
    <w:p w:rsidR="00636AE0" w:rsidRDefault="00636AE0" w:rsidP="00045B46">
      <w:pPr>
        <w:tabs>
          <w:tab w:val="left" w:pos="1800"/>
        </w:tabs>
        <w:ind w:left="1800" w:hanging="1800"/>
      </w:pPr>
      <w:proofErr w:type="spellStart"/>
      <w:r w:rsidRPr="00636AE0">
        <w:rPr>
          <w:u w:val="single"/>
        </w:rPr>
        <w:t>Steagald</w:t>
      </w:r>
      <w:proofErr w:type="spellEnd"/>
      <w:r>
        <w:t xml:space="preserve"> decided latter [sic]</w:t>
      </w:r>
    </w:p>
    <w:p w:rsidR="00636AE0" w:rsidRDefault="00636AE0" w:rsidP="00045B46">
      <w:pPr>
        <w:tabs>
          <w:tab w:val="left" w:pos="1800"/>
        </w:tabs>
        <w:ind w:left="1800" w:hanging="1800"/>
      </w:pPr>
      <w:r>
        <w:t>Should not be applied retroactively</w:t>
      </w:r>
    </w:p>
    <w:p w:rsidR="00636AE0" w:rsidRDefault="00636AE0" w:rsidP="00045B46">
      <w:pPr>
        <w:tabs>
          <w:tab w:val="left" w:pos="1800"/>
        </w:tabs>
        <w:ind w:left="1800" w:hanging="1800"/>
      </w:pPr>
      <w:r>
        <w:t>I see no policy here</w:t>
      </w:r>
    </w:p>
    <w:p w:rsidR="00636AE0" w:rsidRDefault="00636AE0" w:rsidP="00636AE0">
      <w:pPr>
        <w:tabs>
          <w:tab w:val="left" w:pos="720"/>
        </w:tabs>
        <w:ind w:left="1800" w:hanging="1800"/>
      </w:pPr>
      <w:r>
        <w:tab/>
      </w:r>
      <w:r w:rsidR="001E4E29">
        <w:t>No preexisting policy</w:t>
      </w:r>
    </w:p>
    <w:p w:rsidR="001E4E29" w:rsidRPr="00636AE0" w:rsidRDefault="001E4E29" w:rsidP="00636AE0">
      <w:pPr>
        <w:tabs>
          <w:tab w:val="left" w:pos="720"/>
        </w:tabs>
        <w:ind w:left="1800" w:hanging="1800"/>
      </w:pPr>
      <w:r>
        <w:t>Fact-bound and a simple decision</w:t>
      </w:r>
    </w:p>
    <w:p w:rsidR="00BC1B6C" w:rsidRPr="00857C5E" w:rsidRDefault="00D31C2C" w:rsidP="003E5D54">
      <w:pPr>
        <w:tabs>
          <w:tab w:val="left" w:pos="0"/>
        </w:tabs>
      </w:pPr>
      <w:r w:rsidRPr="00857C5E">
        <w:tab/>
      </w:r>
      <w:r w:rsidR="002759A1" w:rsidRPr="00857C5E">
        <w:t xml:space="preserve"> </w:t>
      </w:r>
    </w:p>
    <w:p w:rsidR="00045B46" w:rsidRPr="00857C5E" w:rsidRDefault="00674676" w:rsidP="003B216A">
      <w:pPr>
        <w:rPr>
          <w:smallCaps/>
        </w:rPr>
      </w:pPr>
      <w:r>
        <w:rPr>
          <w:b/>
          <w:smallCaps/>
          <w:noProof/>
        </w:rPr>
        <w:pict>
          <v:line id="_x0000_s1060" style="position:absolute;z-index:251654656" from="-9pt,1.65pt" to="6in,1.65pt">
            <w10:wrap type="square"/>
          </v:line>
        </w:pict>
      </w:r>
      <w:r w:rsidR="001E4E29">
        <w:rPr>
          <w:b/>
          <w:smallCaps/>
        </w:rPr>
        <w:t>Brennan</w:t>
      </w:r>
      <w:r w:rsidR="00987A71" w:rsidRPr="00857C5E">
        <w:rPr>
          <w:b/>
          <w:smallCaps/>
        </w:rPr>
        <w:t>, J.</w:t>
      </w:r>
      <w:r w:rsidR="00987A71" w:rsidRPr="00857C5E">
        <w:rPr>
          <w:smallCaps/>
        </w:rPr>
        <w:t xml:space="preserve"> </w:t>
      </w:r>
      <w:r w:rsidR="005427BF" w:rsidRPr="00857C5E">
        <w:rPr>
          <w:smallCaps/>
        </w:rPr>
        <w:tab/>
      </w:r>
      <w:r w:rsidR="005427BF" w:rsidRPr="00857C5E">
        <w:rPr>
          <w:smallCaps/>
        </w:rPr>
        <w:tab/>
      </w:r>
      <w:r w:rsidR="004213B2" w:rsidRPr="004213B2">
        <w:t>Reverse</w:t>
      </w:r>
    </w:p>
    <w:p w:rsidR="001E4E29" w:rsidRDefault="001E4E29" w:rsidP="007E10CA">
      <w:pPr>
        <w:tabs>
          <w:tab w:val="left" w:pos="720"/>
        </w:tabs>
      </w:pPr>
      <w:r>
        <w:t>Monell – Respondeat superior not sufficient</w:t>
      </w:r>
    </w:p>
    <w:p w:rsidR="001E4E29" w:rsidRDefault="001E4E29" w:rsidP="007E10CA">
      <w:pPr>
        <w:tabs>
          <w:tab w:val="left" w:pos="720"/>
        </w:tabs>
      </w:pPr>
      <w:r>
        <w:t xml:space="preserve">Question is one of specific sanction </w:t>
      </w:r>
      <w:r>
        <w:rPr>
          <w:i/>
        </w:rPr>
        <w:t>conduct</w:t>
      </w:r>
      <w:r>
        <w:t xml:space="preserve"> by a) written rule, b) consistent application, or c) </w:t>
      </w:r>
      <w:r>
        <w:rPr>
          <w:i/>
        </w:rPr>
        <w:t>making</w:t>
      </w:r>
      <w:r>
        <w:t xml:space="preserve"> a decision.</w:t>
      </w:r>
    </w:p>
    <w:p w:rsidR="001E4E29" w:rsidRDefault="001E4E29" w:rsidP="007E10CA">
      <w:pPr>
        <w:tabs>
          <w:tab w:val="left" w:pos="720"/>
        </w:tabs>
      </w:pPr>
      <w:r>
        <w:t>Distinction betwe</w:t>
      </w:r>
      <w:r w:rsidR="00565B0A">
        <w:t xml:space="preserve">en act of the county or of the </w:t>
      </w:r>
      <w:r w:rsidR="00565B0A">
        <w:rPr>
          <w:i/>
        </w:rPr>
        <w:t>employee</w:t>
      </w:r>
      <w:r>
        <w:t>.</w:t>
      </w:r>
      <w:r w:rsidR="00565B0A">
        <w:rPr>
          <w:rStyle w:val="FootnoteReference"/>
        </w:rPr>
        <w:footnoteReference w:id="3"/>
      </w:r>
    </w:p>
    <w:p w:rsidR="00565B0A" w:rsidRDefault="001E4E29" w:rsidP="007E10CA">
      <w:pPr>
        <w:tabs>
          <w:tab w:val="left" w:pos="720"/>
        </w:tabs>
      </w:pPr>
      <w:r>
        <w:t xml:space="preserve">Could be by a single act </w:t>
      </w:r>
    </w:p>
    <w:p w:rsidR="007E10CA" w:rsidRPr="00565B0A" w:rsidRDefault="00565B0A" w:rsidP="007E10CA">
      <w:pPr>
        <w:tabs>
          <w:tab w:val="left" w:pos="720"/>
        </w:tabs>
      </w:pPr>
      <w:r>
        <w:tab/>
      </w:r>
      <w:r w:rsidR="003A4AD6">
        <w:t>Consider</w:t>
      </w:r>
      <w:r>
        <w:rPr>
          <w:i/>
        </w:rPr>
        <w:t xml:space="preserve"> hijacking</w:t>
      </w:r>
      <w:r w:rsidR="004213B2">
        <w:rPr>
          <w:rStyle w:val="FootnoteReference"/>
          <w:i/>
        </w:rPr>
        <w:footnoteReference w:id="4"/>
      </w:r>
    </w:p>
    <w:p w:rsidR="001E4E29" w:rsidRDefault="001E4E29" w:rsidP="007E10CA">
      <w:pPr>
        <w:tabs>
          <w:tab w:val="left" w:pos="720"/>
        </w:tabs>
      </w:pPr>
      <w:r>
        <w:t>Under that test, this county can be held liable</w:t>
      </w:r>
    </w:p>
    <w:p w:rsidR="001E4E29" w:rsidRDefault="003A4AD6" w:rsidP="007E10CA">
      <w:pPr>
        <w:tabs>
          <w:tab w:val="left" w:pos="720"/>
        </w:tabs>
      </w:pPr>
      <w:r>
        <w:rPr>
          <w:i/>
        </w:rPr>
        <w:t>Consider</w:t>
      </w:r>
      <w:r w:rsidR="00674676">
        <w:rPr>
          <w:i/>
        </w:rPr>
        <w:t>ing</w:t>
      </w:r>
      <w:bookmarkStart w:id="0" w:name="_GoBack"/>
      <w:bookmarkEnd w:id="0"/>
      <w:r w:rsidR="004213B2">
        <w:rPr>
          <w:rStyle w:val="FootnoteReference"/>
          <w:i/>
        </w:rPr>
        <w:footnoteReference w:id="5"/>
      </w:r>
      <w:r w:rsidR="001E4E29">
        <w:t xml:space="preserve"> </w:t>
      </w:r>
      <w:proofErr w:type="spellStart"/>
      <w:r w:rsidR="001E4E29">
        <w:rPr>
          <w:u w:val="single"/>
        </w:rPr>
        <w:t>Steagal</w:t>
      </w:r>
      <w:r w:rsidR="00113CC4">
        <w:rPr>
          <w:u w:val="single"/>
        </w:rPr>
        <w:t>d</w:t>
      </w:r>
      <w:proofErr w:type="spellEnd"/>
      <w:r w:rsidR="00113CC4">
        <w:t xml:space="preserve"> – no one argues not to be retroactively applied</w:t>
      </w:r>
    </w:p>
    <w:p w:rsidR="00113CC4" w:rsidRPr="00113CC4" w:rsidRDefault="00113CC4" w:rsidP="007E10CA">
      <w:pPr>
        <w:tabs>
          <w:tab w:val="left" w:pos="720"/>
        </w:tabs>
      </w:pPr>
      <w:r>
        <w:t xml:space="preserve">Do not have to address </w:t>
      </w:r>
      <w:proofErr w:type="spellStart"/>
      <w:r w:rsidRPr="00113CC4">
        <w:rPr>
          <w:i/>
        </w:rPr>
        <w:t>Steagald’s</w:t>
      </w:r>
      <w:proofErr w:type="spellEnd"/>
      <w:r>
        <w:t xml:space="preserve"> retroactivity</w:t>
      </w:r>
    </w:p>
    <w:p w:rsidR="007E10CA" w:rsidRPr="00857C5E" w:rsidRDefault="00674676" w:rsidP="003B216A">
      <w:r>
        <w:rPr>
          <w:b/>
          <w:smallCaps/>
          <w:noProof/>
        </w:rPr>
        <w:pict>
          <v:line id="_x0000_s1078" style="position:absolute;z-index:251661824" from="-9pt,21.9pt" to="6in,21.9pt">
            <w10:wrap type="square"/>
          </v:line>
        </w:pict>
      </w:r>
      <w:r w:rsidR="00113CC4">
        <w:t xml:space="preserve">No objection below.  </w:t>
      </w:r>
    </w:p>
    <w:p w:rsidR="00F82E84" w:rsidRDefault="00F82E84" w:rsidP="0038765F">
      <w:pPr>
        <w:tabs>
          <w:tab w:val="left" w:pos="1800"/>
        </w:tabs>
      </w:pPr>
    </w:p>
    <w:p w:rsidR="00F82E84" w:rsidRDefault="00F10571" w:rsidP="00F82E84">
      <w:pPr>
        <w:tabs>
          <w:tab w:val="left" w:pos="1800"/>
        </w:tabs>
        <w:jc w:val="center"/>
      </w:pPr>
      <w:r w:rsidRPr="00F82E84">
        <w:t xml:space="preserve">[See </w:t>
      </w:r>
      <w:r w:rsidR="00F82E84">
        <w:t>next</w:t>
      </w:r>
      <w:r w:rsidRPr="00F82E84">
        <w:t xml:space="preserve"> page for</w:t>
      </w:r>
    </w:p>
    <w:p w:rsidR="00F82E84" w:rsidRDefault="00F10571" w:rsidP="00F82E84">
      <w:pPr>
        <w:tabs>
          <w:tab w:val="left" w:pos="1800"/>
        </w:tabs>
        <w:jc w:val="center"/>
      </w:pPr>
      <w:r w:rsidRPr="00F82E84">
        <w:t>HAB’s notes on the comments of</w:t>
      </w:r>
    </w:p>
    <w:p w:rsidR="002F75EC" w:rsidRPr="00F82E84" w:rsidRDefault="00F10571" w:rsidP="00F82E84">
      <w:pPr>
        <w:tabs>
          <w:tab w:val="left" w:pos="1800"/>
        </w:tabs>
        <w:jc w:val="center"/>
      </w:pPr>
      <w:r w:rsidRPr="00F82E84">
        <w:t>Justice White and Justice Marshall.]</w:t>
      </w:r>
    </w:p>
    <w:p w:rsidR="002F75EC" w:rsidRDefault="002F75EC" w:rsidP="0038765F">
      <w:pPr>
        <w:tabs>
          <w:tab w:val="left" w:pos="1800"/>
        </w:tabs>
        <w:rPr>
          <w:b/>
          <w:smallCaps/>
        </w:rPr>
      </w:pPr>
    </w:p>
    <w:p w:rsidR="00F82E84" w:rsidRDefault="00F82E84">
      <w:pPr>
        <w:rPr>
          <w:b/>
          <w:smallCaps/>
        </w:rPr>
      </w:pPr>
      <w:r>
        <w:rPr>
          <w:b/>
          <w:smallCaps/>
        </w:rPr>
        <w:br w:type="page"/>
      </w:r>
    </w:p>
    <w:p w:rsidR="00F82E84" w:rsidRDefault="00F82E84" w:rsidP="00F82E84">
      <w:pPr>
        <w:tabs>
          <w:tab w:val="left" w:pos="1800"/>
        </w:tabs>
        <w:jc w:val="center"/>
        <w:rPr>
          <w:b/>
          <w:smallCaps/>
        </w:rPr>
      </w:pPr>
      <w:r w:rsidRPr="00636AE0">
        <w:rPr>
          <w:b/>
        </w:rPr>
        <w:lastRenderedPageBreak/>
        <w:t>[1st Page – Image HAB439F70051</w:t>
      </w:r>
      <w:r>
        <w:rPr>
          <w:b/>
        </w:rPr>
        <w:t xml:space="preserve"> – Part 2</w:t>
      </w:r>
      <w:r w:rsidRPr="00636AE0">
        <w:rPr>
          <w:b/>
        </w:rPr>
        <w:t>]</w:t>
      </w:r>
    </w:p>
    <w:p w:rsidR="00F82E84" w:rsidRDefault="00674676" w:rsidP="0038765F">
      <w:pPr>
        <w:tabs>
          <w:tab w:val="left" w:pos="1800"/>
        </w:tabs>
        <w:rPr>
          <w:b/>
          <w:smallCaps/>
        </w:rPr>
      </w:pPr>
      <w:r>
        <w:rPr>
          <w:b/>
          <w:smallCaps/>
          <w:noProof/>
        </w:rPr>
        <w:pict>
          <v:rect id="_x0000_s1079" style="position:absolute;margin-left:-15pt;margin-top:8.95pt;width:7in;height:459.95pt;z-index:-251653632" filled="f">
            <v:fill opacity="0"/>
          </v:rect>
        </w:pict>
      </w:r>
    </w:p>
    <w:p w:rsidR="00857C5E" w:rsidRDefault="005427BF" w:rsidP="0038765F">
      <w:pPr>
        <w:tabs>
          <w:tab w:val="left" w:pos="1800"/>
        </w:tabs>
        <w:rPr>
          <w:b/>
          <w:smallCaps/>
        </w:rPr>
      </w:pPr>
      <w:r w:rsidRPr="00857C5E">
        <w:rPr>
          <w:b/>
          <w:smallCaps/>
        </w:rPr>
        <w:t>White J.</w:t>
      </w:r>
      <w:r w:rsidR="004213B2">
        <w:rPr>
          <w:b/>
          <w:smallCaps/>
        </w:rPr>
        <w:tab/>
      </w:r>
      <w:r w:rsidR="004213B2" w:rsidRPr="004213B2">
        <w:t>Reverse</w:t>
      </w:r>
    </w:p>
    <w:p w:rsidR="00857C5E" w:rsidRDefault="004213B2" w:rsidP="0038765F">
      <w:pPr>
        <w:tabs>
          <w:tab w:val="left" w:pos="1800"/>
        </w:tabs>
      </w:pPr>
      <w:r>
        <w:t xml:space="preserve">Passing </w:t>
      </w:r>
      <w:proofErr w:type="spellStart"/>
      <w:r>
        <w:rPr>
          <w:u w:val="single"/>
        </w:rPr>
        <w:t>Steagald</w:t>
      </w:r>
      <w:proofErr w:type="spellEnd"/>
      <w:r w:rsidR="00220BB9">
        <w:rPr>
          <w:u w:val="single"/>
        </w:rPr>
        <w:t xml:space="preserve">  </w:t>
      </w:r>
    </w:p>
    <w:p w:rsidR="004213B2" w:rsidRDefault="004213B2" w:rsidP="004213B2">
      <w:r>
        <w:tab/>
        <w:t>Not raised below or here</w:t>
      </w:r>
    </w:p>
    <w:p w:rsidR="004213B2" w:rsidRDefault="004213B2" w:rsidP="004213B2">
      <w:r>
        <w:t>At the trial no constitutional violation</w:t>
      </w:r>
      <w:r w:rsidR="00220BB9">
        <w:rPr>
          <w:rStyle w:val="FootnoteReference"/>
        </w:rPr>
        <w:footnoteReference w:id="6"/>
      </w:r>
    </w:p>
    <w:p w:rsidR="00220BB9" w:rsidRDefault="00220BB9" w:rsidP="004213B2">
      <w:r>
        <w:t>Cincinnati knuckled under</w:t>
      </w:r>
    </w:p>
    <w:p w:rsidR="00220BB9" w:rsidRDefault="00220BB9" w:rsidP="004213B2">
      <w:r>
        <w:t>County [illegible] to do what sheriff said</w:t>
      </w:r>
    </w:p>
    <w:p w:rsidR="00220BB9" w:rsidRPr="002F75EC" w:rsidRDefault="00220BB9" w:rsidP="004213B2">
      <w:r>
        <w:t xml:space="preserve">But not every act establishes a policy.  Could not stick county just because sheriff made a mistake. </w:t>
      </w:r>
    </w:p>
    <w:p w:rsidR="002F75EC" w:rsidRDefault="00220BB9" w:rsidP="0038765F">
      <w:pPr>
        <w:tabs>
          <w:tab w:val="left" w:pos="1800"/>
        </w:tabs>
      </w:pPr>
      <w:r w:rsidRPr="002F75EC">
        <w:t>§</w:t>
      </w:r>
      <w:r w:rsidR="002F75EC" w:rsidRPr="002F75EC">
        <w:t xml:space="preserve"> </w:t>
      </w:r>
      <w:proofErr w:type="gramStart"/>
      <w:r w:rsidR="002F75EC" w:rsidRPr="002F75EC">
        <w:t>county</w:t>
      </w:r>
      <w:proofErr w:type="gramEnd"/>
      <w:r w:rsidR="002F75EC" w:rsidRPr="002F75EC">
        <w:t xml:space="preserve"> att</w:t>
      </w:r>
      <w:r w:rsidR="005C3962">
        <w:t xml:space="preserve">orney </w:t>
      </w:r>
      <w:proofErr w:type="spellStart"/>
      <w:r w:rsidR="001A4A64">
        <w:rPr>
          <w:i/>
        </w:rPr>
        <w:t>reco</w:t>
      </w:r>
      <w:r w:rsidR="005C2937">
        <w:rPr>
          <w:i/>
        </w:rPr>
        <w:t>m</w:t>
      </w:r>
      <w:r w:rsidR="001A4A64">
        <w:rPr>
          <w:i/>
        </w:rPr>
        <w:t>end</w:t>
      </w:r>
      <w:r w:rsidR="005C2937">
        <w:rPr>
          <w:i/>
        </w:rPr>
        <w:t>ed</w:t>
      </w:r>
      <w:proofErr w:type="spellEnd"/>
      <w:r w:rsidR="005C2937">
        <w:rPr>
          <w:rStyle w:val="FootnoteReference"/>
          <w:i/>
        </w:rPr>
        <w:footnoteReference w:id="7"/>
      </w:r>
      <w:r w:rsidR="005C3962">
        <w:t xml:space="preserve"> the violation</w:t>
      </w:r>
      <w:r w:rsidR="001A4A64">
        <w:t>,</w:t>
      </w:r>
      <w:r w:rsidR="002F75EC" w:rsidRPr="002F75EC">
        <w:t xml:space="preserve"> </w:t>
      </w:r>
      <w:r w:rsidR="001A4A64">
        <w:rPr>
          <w:i/>
        </w:rPr>
        <w:t>so</w:t>
      </w:r>
      <w:r w:rsidR="005C3962">
        <w:rPr>
          <w:rStyle w:val="FootnoteReference"/>
          <w:i/>
        </w:rPr>
        <w:footnoteReference w:id="8"/>
      </w:r>
      <w:r w:rsidR="002F75EC" w:rsidRPr="002F75EC">
        <w:t xml:space="preserve"> policy</w:t>
      </w:r>
      <w:r w:rsidR="002F75EC">
        <w:t xml:space="preserve">?  </w:t>
      </w:r>
    </w:p>
    <w:p w:rsidR="002F75EC" w:rsidRDefault="002F75EC" w:rsidP="0038765F">
      <w:pPr>
        <w:tabs>
          <w:tab w:val="left" w:pos="1800"/>
        </w:tabs>
      </w:pPr>
      <w:r>
        <w:t>But no trouble in this case</w:t>
      </w:r>
    </w:p>
    <w:p w:rsidR="002F75EC" w:rsidRDefault="002F75EC" w:rsidP="0038765F">
      <w:pPr>
        <w:tabs>
          <w:tab w:val="left" w:pos="1800"/>
        </w:tabs>
      </w:pPr>
      <w:proofErr w:type="spellStart"/>
      <w:r>
        <w:t>Steagald</w:t>
      </w:r>
      <w:proofErr w:type="spellEnd"/>
      <w:r>
        <w:t xml:space="preserve"> not retroactive under our cases for purposes of the Ex Rule</w:t>
      </w:r>
    </w:p>
    <w:p w:rsidR="00343B88" w:rsidRPr="00220BB9" w:rsidRDefault="002F75EC" w:rsidP="0038765F">
      <w:pPr>
        <w:tabs>
          <w:tab w:val="left" w:pos="1800"/>
        </w:tabs>
        <w:rPr>
          <w:smallCaps/>
        </w:rPr>
      </w:pPr>
      <w:r>
        <w:t xml:space="preserve">Unless we get to </w:t>
      </w:r>
      <w:proofErr w:type="spellStart"/>
      <w:r>
        <w:t>Steagald</w:t>
      </w:r>
      <w:proofErr w:type="spellEnd"/>
      <w:r>
        <w:t>, I reverse</w:t>
      </w:r>
      <w:r w:rsidR="00343B88" w:rsidRPr="00220BB9">
        <w:rPr>
          <w:smallCaps/>
        </w:rPr>
        <w:tab/>
      </w:r>
    </w:p>
    <w:p w:rsidR="00F82E84" w:rsidRPr="00F82E84" w:rsidRDefault="00674676" w:rsidP="002F587E">
      <w:pPr>
        <w:tabs>
          <w:tab w:val="left" w:pos="1800"/>
        </w:tabs>
      </w:pPr>
      <w:r>
        <w:rPr>
          <w:b/>
          <w:smallCaps/>
          <w:noProof/>
        </w:rPr>
        <w:pict>
          <v:line id="_x0000_s1064" style="position:absolute;z-index:251655680" from="-9pt,7.05pt" to="6in,7.05pt">
            <w10:wrap type="square"/>
          </v:line>
        </w:pict>
      </w:r>
      <w:r w:rsidR="002F587E" w:rsidRPr="00857C5E">
        <w:rPr>
          <w:b/>
          <w:smallCaps/>
        </w:rPr>
        <w:t>Marshall, J.</w:t>
      </w:r>
      <w:r w:rsidR="002F587E" w:rsidRPr="00857C5E">
        <w:t xml:space="preserve">    </w:t>
      </w:r>
      <w:r w:rsidR="002F587E" w:rsidRPr="00F82E84">
        <w:rPr>
          <w:smallCaps/>
        </w:rPr>
        <w:tab/>
      </w:r>
      <w:r w:rsidR="00F82E84" w:rsidRPr="00F82E84">
        <w:t>Affirm</w:t>
      </w:r>
    </w:p>
    <w:p w:rsidR="00F82E84" w:rsidRDefault="00F82E84" w:rsidP="002F587E">
      <w:pPr>
        <w:tabs>
          <w:tab w:val="left" w:pos="1800"/>
        </w:tabs>
      </w:pPr>
      <w:r>
        <w:t>This capias equals a bench warrant</w:t>
      </w:r>
    </w:p>
    <w:p w:rsidR="00F82E84" w:rsidRDefault="00F82E84" w:rsidP="002F587E">
      <w:pPr>
        <w:tabs>
          <w:tab w:val="left" w:pos="1800"/>
        </w:tabs>
      </w:pPr>
      <w:r>
        <w:tab/>
      </w:r>
      <w:r>
        <w:tab/>
        <w:t>OK</w:t>
      </w:r>
    </w:p>
    <w:p w:rsidR="002F587E" w:rsidRPr="00F82E84" w:rsidRDefault="002F587E" w:rsidP="002F587E">
      <w:pPr>
        <w:tabs>
          <w:tab w:val="left" w:pos="1800"/>
        </w:tabs>
      </w:pPr>
    </w:p>
    <w:p w:rsidR="004E2370" w:rsidRPr="00F82E84" w:rsidRDefault="00674676" w:rsidP="00B5238A">
      <w:pPr>
        <w:tabs>
          <w:tab w:val="left" w:pos="1800"/>
        </w:tabs>
        <w:ind w:left="1800" w:hanging="1800"/>
      </w:pPr>
      <w:r>
        <w:rPr>
          <w:noProof/>
        </w:rPr>
        <w:pict>
          <v:oval id="_x0000_s1080" style="position:absolute;left:0;text-align:left;margin-left:35pt;margin-top:4.15pt;width:166.5pt;height:28.95pt;z-index:251663872;v-text-anchor:middle" filled="f" strokecolor="#041380">
            <v:fill opacity="0"/>
            <v:textbox style="mso-next-textbox:#_x0000_s1080">
              <w:txbxContent>
                <w:p w:rsidR="005C673E" w:rsidRPr="005C3962" w:rsidRDefault="005C673E" w:rsidP="005C673E">
                  <w:pPr>
                    <w:jc w:val="center"/>
                    <w:rPr>
                      <w:color w:val="041380"/>
                    </w:rPr>
                  </w:pPr>
                  <w:r w:rsidRPr="005C3962">
                    <w:rPr>
                      <w:color w:val="041380"/>
                    </w:rPr>
                    <w:t>Change to Reverse</w:t>
                  </w:r>
                </w:p>
              </w:txbxContent>
            </v:textbox>
          </v:oval>
        </w:pict>
      </w:r>
    </w:p>
    <w:p w:rsidR="005C673E" w:rsidRPr="005C673E" w:rsidRDefault="005C673E" w:rsidP="004E2370">
      <w:pPr>
        <w:jc w:val="center"/>
        <w:rPr>
          <w:sz w:val="40"/>
          <w:szCs w:val="40"/>
        </w:rPr>
      </w:pPr>
      <w:r>
        <w:tab/>
      </w:r>
      <w:r>
        <w:tab/>
      </w:r>
      <w:r w:rsidRPr="005C673E">
        <w:rPr>
          <w:sz w:val="40"/>
          <w:szCs w:val="40"/>
        </w:rPr>
        <w:t>?</w:t>
      </w:r>
    </w:p>
    <w:p w:rsidR="005C673E" w:rsidRDefault="005C673E" w:rsidP="004E2370">
      <w:pPr>
        <w:jc w:val="center"/>
      </w:pPr>
    </w:p>
    <w:p w:rsidR="005C673E" w:rsidRDefault="005C673E" w:rsidP="005C673E">
      <w:pPr>
        <w:tabs>
          <w:tab w:val="left" w:pos="2738"/>
        </w:tabs>
      </w:pPr>
      <w:r>
        <w:tab/>
      </w:r>
    </w:p>
    <w:p w:rsidR="004E2370" w:rsidRDefault="00FD31FF" w:rsidP="004E2370">
      <w:pPr>
        <w:jc w:val="center"/>
        <w:rPr>
          <w:b/>
          <w:u w:val="single"/>
        </w:rPr>
      </w:pPr>
      <w:r w:rsidRPr="005C673E">
        <w:br w:type="page"/>
      </w:r>
      <w:r w:rsidR="00F94519">
        <w:rPr>
          <w:b/>
        </w:rPr>
        <w:lastRenderedPageBreak/>
        <w:t>[2</w:t>
      </w:r>
      <w:r w:rsidR="00447B9B">
        <w:rPr>
          <w:b/>
        </w:rPr>
        <w:t>n</w:t>
      </w:r>
      <w:r w:rsidR="001804ED">
        <w:rPr>
          <w:b/>
        </w:rPr>
        <w:t>d</w:t>
      </w:r>
      <w:r w:rsidR="004E2370" w:rsidRPr="001F0626">
        <w:rPr>
          <w:b/>
        </w:rPr>
        <w:t xml:space="preserve"> Page – Image </w:t>
      </w:r>
      <w:r w:rsidR="008B38AF" w:rsidRPr="00636AE0">
        <w:rPr>
          <w:b/>
        </w:rPr>
        <w:t>HAB439F7005</w:t>
      </w:r>
      <w:r w:rsidR="008B38AF">
        <w:rPr>
          <w:b/>
        </w:rPr>
        <w:t>2]</w:t>
      </w:r>
    </w:p>
    <w:p w:rsidR="0057269F" w:rsidRDefault="0057269F" w:rsidP="004E2370">
      <w:pPr>
        <w:jc w:val="center"/>
        <w:rPr>
          <w:b/>
          <w:u w:val="single"/>
        </w:rPr>
      </w:pPr>
    </w:p>
    <w:p w:rsidR="0057269F" w:rsidRPr="001F0626" w:rsidRDefault="00674676" w:rsidP="004E2370">
      <w:pPr>
        <w:jc w:val="center"/>
        <w:rPr>
          <w:b/>
          <w:u w:val="single"/>
        </w:rPr>
      </w:pPr>
      <w:r>
        <w:rPr>
          <w:b/>
          <w:noProof/>
        </w:rPr>
        <w:pict>
          <v:rect id="_x0000_s1074" style="position:absolute;left:0;text-align:left;margin-left:-36pt;margin-top:-.6pt;width:522pt;height:486pt;z-index:251659776" filled="f">
            <v:fill opacity="0"/>
          </v:rect>
        </w:pict>
      </w:r>
    </w:p>
    <w:p w:rsidR="005C60FC" w:rsidRPr="006052AB" w:rsidRDefault="005C60FC" w:rsidP="004E2370">
      <w:pPr>
        <w:tabs>
          <w:tab w:val="left" w:pos="720"/>
        </w:tabs>
      </w:pPr>
      <w:r w:rsidRPr="006052AB">
        <w:rPr>
          <w:b/>
          <w:smallCaps/>
        </w:rPr>
        <w:t>Powell, J.</w:t>
      </w:r>
      <w:r w:rsidRPr="006052AB">
        <w:rPr>
          <w:b/>
          <w:smallCaps/>
        </w:rPr>
        <w:tab/>
      </w:r>
      <w:r w:rsidRPr="006052AB">
        <w:rPr>
          <w:b/>
          <w:smallCaps/>
        </w:rPr>
        <w:tab/>
      </w:r>
      <w:r w:rsidR="00770E3A" w:rsidRPr="00770E3A">
        <w:t>Affirm</w:t>
      </w:r>
    </w:p>
    <w:p w:rsidR="00D06940" w:rsidRDefault="00770E3A" w:rsidP="00D06940">
      <w:pPr>
        <w:tabs>
          <w:tab w:val="left" w:pos="720"/>
        </w:tabs>
      </w:pPr>
      <w:r>
        <w:t xml:space="preserve">No apply </w:t>
      </w:r>
      <w:proofErr w:type="spellStart"/>
      <w:r>
        <w:t>Steagald</w:t>
      </w:r>
      <w:proofErr w:type="spellEnd"/>
      <w:r>
        <w:t xml:space="preserve"> retroactively</w:t>
      </w:r>
    </w:p>
    <w:p w:rsidR="00770E3A" w:rsidRDefault="00770E3A" w:rsidP="00D06940">
      <w:pPr>
        <w:tabs>
          <w:tab w:val="left" w:pos="720"/>
        </w:tabs>
      </w:pPr>
      <w:r>
        <w:tab/>
        <w:t>That would be unfair</w:t>
      </w:r>
    </w:p>
    <w:p w:rsidR="00770E3A" w:rsidRDefault="00770E3A" w:rsidP="00D06940">
      <w:pPr>
        <w:tabs>
          <w:tab w:val="left" w:pos="720"/>
        </w:tabs>
      </w:pPr>
      <w:r>
        <w:t>Therefore, not necessary to reach policy question</w:t>
      </w:r>
    </w:p>
    <w:p w:rsidR="00770E3A" w:rsidRDefault="00770E3A" w:rsidP="00D06940">
      <w:pPr>
        <w:tabs>
          <w:tab w:val="left" w:pos="720"/>
        </w:tabs>
      </w:pPr>
      <w:r>
        <w:t>If I do, I affirm</w:t>
      </w:r>
    </w:p>
    <w:p w:rsidR="00770E3A" w:rsidRDefault="00770E3A" w:rsidP="00D06940">
      <w:pPr>
        <w:tabs>
          <w:tab w:val="left" w:pos="720"/>
        </w:tabs>
      </w:pPr>
      <w:r>
        <w:tab/>
        <w:t>This a spur of the moment decision</w:t>
      </w:r>
    </w:p>
    <w:p w:rsidR="00770E3A" w:rsidRDefault="00770E3A" w:rsidP="00D06940">
      <w:pPr>
        <w:tabs>
          <w:tab w:val="left" w:pos="720"/>
        </w:tabs>
      </w:pPr>
      <w:r>
        <w:t>Surely not a policy</w:t>
      </w:r>
    </w:p>
    <w:p w:rsidR="00770E3A" w:rsidRDefault="00770E3A" w:rsidP="00D06940">
      <w:pPr>
        <w:tabs>
          <w:tab w:val="left" w:pos="720"/>
        </w:tabs>
      </w:pPr>
      <w:r>
        <w:tab/>
        <w:t>On that basis, would not have joined Monell</w:t>
      </w:r>
    </w:p>
    <w:p w:rsidR="005C60FC" w:rsidRPr="006052AB" w:rsidRDefault="00674676" w:rsidP="004E2370">
      <w:pPr>
        <w:tabs>
          <w:tab w:val="left" w:pos="720"/>
        </w:tabs>
      </w:pPr>
      <w:r>
        <w:rPr>
          <w:b/>
          <w:smallCaps/>
          <w:noProof/>
        </w:rPr>
        <w:pict>
          <v:line id="_x0000_s1070" style="position:absolute;z-index:251657728" from="0,6.8pt" to="441pt,6.8pt">
            <w10:wrap type="square"/>
          </v:line>
        </w:pict>
      </w:r>
      <w:r w:rsidR="001C0AB4" w:rsidRPr="006052AB">
        <w:rPr>
          <w:b/>
          <w:smallCaps/>
        </w:rPr>
        <w:t>Rehnquist, J.</w:t>
      </w:r>
      <w:r w:rsidR="00770E3A">
        <w:rPr>
          <w:b/>
          <w:smallCaps/>
        </w:rPr>
        <w:tab/>
      </w:r>
      <w:r w:rsidR="00770E3A" w:rsidRPr="00770E3A">
        <w:t>Affirm</w:t>
      </w:r>
      <w:r w:rsidR="001C0AB4" w:rsidRPr="006052AB">
        <w:tab/>
      </w:r>
    </w:p>
    <w:p w:rsidR="006052AB" w:rsidRDefault="00770E3A" w:rsidP="00123868">
      <w:pPr>
        <w:tabs>
          <w:tab w:val="left" w:pos="720"/>
        </w:tabs>
      </w:pPr>
      <w:r>
        <w:t xml:space="preserve">Wrong to apply </w:t>
      </w:r>
      <w:proofErr w:type="spellStart"/>
      <w:r>
        <w:t>Steagald</w:t>
      </w:r>
      <w:proofErr w:type="spellEnd"/>
      <w:r>
        <w:t xml:space="preserve"> retroactively</w:t>
      </w:r>
    </w:p>
    <w:p w:rsidR="00770E3A" w:rsidRDefault="00770E3A" w:rsidP="00123868">
      <w:pPr>
        <w:tabs>
          <w:tab w:val="left" w:pos="720"/>
        </w:tabs>
      </w:pPr>
      <w:proofErr w:type="gramStart"/>
      <w:r>
        <w:t>On  policy</w:t>
      </w:r>
      <w:proofErr w:type="gramEnd"/>
      <w:r>
        <w:t xml:space="preserve"> issue, affirm</w:t>
      </w:r>
    </w:p>
    <w:p w:rsidR="00770E3A" w:rsidRDefault="00770E3A" w:rsidP="00123868">
      <w:pPr>
        <w:tabs>
          <w:tab w:val="left" w:pos="720"/>
        </w:tabs>
      </w:pPr>
      <w:r>
        <w:t xml:space="preserve">No policy </w:t>
      </w:r>
      <w:r w:rsidR="008238FC">
        <w:t xml:space="preserve">to break down a door </w:t>
      </w:r>
    </w:p>
    <w:p w:rsidR="008238FC" w:rsidRDefault="008238FC" w:rsidP="00123868">
      <w:pPr>
        <w:tabs>
          <w:tab w:val="left" w:pos="720"/>
        </w:tabs>
      </w:pPr>
      <w:r>
        <w:tab/>
        <w:t>That he went to county attorney shows not a policy</w:t>
      </w:r>
    </w:p>
    <w:p w:rsidR="006052AB" w:rsidRDefault="006052AB" w:rsidP="00123868">
      <w:pPr>
        <w:tabs>
          <w:tab w:val="left" w:pos="720"/>
        </w:tabs>
      </w:pPr>
    </w:p>
    <w:p w:rsidR="008238FC" w:rsidRDefault="00674676" w:rsidP="00123868">
      <w:pPr>
        <w:tabs>
          <w:tab w:val="left" w:pos="720"/>
        </w:tabs>
      </w:pPr>
      <w:r>
        <w:rPr>
          <w:b/>
          <w:smallCaps/>
          <w:noProof/>
        </w:rPr>
        <w:pict>
          <v:line id="_x0000_s1075" style="position:absolute;z-index:251660800" from="0,4.4pt" to="441pt,4.4pt">
            <w10:wrap type="square"/>
          </v:line>
        </w:pict>
      </w:r>
      <w:r w:rsidR="000D0310" w:rsidRPr="006052AB">
        <w:rPr>
          <w:b/>
          <w:smallCaps/>
        </w:rPr>
        <w:t>Stevens, J.</w:t>
      </w:r>
      <w:r w:rsidR="000D0310" w:rsidRPr="006052AB">
        <w:tab/>
      </w:r>
      <w:r w:rsidR="008238FC">
        <w:tab/>
        <w:t>Reverse</w:t>
      </w:r>
    </w:p>
    <w:p w:rsidR="008238FC" w:rsidRDefault="008238FC" w:rsidP="00123868">
      <w:pPr>
        <w:tabs>
          <w:tab w:val="left" w:pos="720"/>
        </w:tabs>
      </w:pPr>
      <w:r>
        <w:t>I no share BRW’s concern</w:t>
      </w:r>
    </w:p>
    <w:p w:rsidR="008238FC" w:rsidRDefault="008238FC" w:rsidP="00123868">
      <w:pPr>
        <w:tabs>
          <w:tab w:val="left" w:pos="720"/>
        </w:tabs>
      </w:pPr>
      <w:r>
        <w:tab/>
        <w:t>This not dramatic</w:t>
      </w:r>
    </w:p>
    <w:p w:rsidR="008238FC" w:rsidRDefault="008238FC" w:rsidP="00123868">
      <w:pPr>
        <w:tabs>
          <w:tab w:val="left" w:pos="720"/>
        </w:tabs>
      </w:pPr>
      <w:r>
        <w:t>Often policy is made by a single person</w:t>
      </w:r>
    </w:p>
    <w:p w:rsidR="0057269F" w:rsidRPr="006052AB" w:rsidRDefault="008238FC" w:rsidP="00123868">
      <w:pPr>
        <w:tabs>
          <w:tab w:val="left" w:pos="720"/>
        </w:tabs>
      </w:pPr>
      <w:r>
        <w:t>Responsible public official makes decision in appropriate area</w:t>
      </w:r>
      <w:r w:rsidR="000D0310" w:rsidRPr="006052AB">
        <w:tab/>
      </w:r>
    </w:p>
    <w:p w:rsidR="000D0310" w:rsidRDefault="000D0310" w:rsidP="000D0310">
      <w:pPr>
        <w:tabs>
          <w:tab w:val="left" w:pos="1800"/>
        </w:tabs>
        <w:ind w:left="252" w:hanging="252"/>
      </w:pPr>
    </w:p>
    <w:p w:rsidR="006052AB" w:rsidRDefault="006052AB" w:rsidP="000D0310">
      <w:pPr>
        <w:tabs>
          <w:tab w:val="left" w:pos="1800"/>
        </w:tabs>
        <w:ind w:left="252" w:hanging="252"/>
        <w:rPr>
          <w:i/>
          <w:u w:val="single"/>
        </w:rPr>
      </w:pPr>
    </w:p>
    <w:p w:rsidR="006B02D0" w:rsidRPr="008238FC" w:rsidRDefault="00674676" w:rsidP="00BF0E5B">
      <w:r>
        <w:rPr>
          <w:b/>
          <w:smallCaps/>
          <w:noProof/>
        </w:rPr>
        <w:pict>
          <v:line id="_x0000_s1069" style="position:absolute;z-index:251656704" from="0,12.5pt" to="441pt,12.5pt">
            <w10:wrap type="square"/>
          </v:line>
        </w:pict>
      </w:r>
      <w:r w:rsidR="00770E3A" w:rsidRPr="008238FC">
        <w:rPr>
          <w:b/>
          <w:smallCaps/>
        </w:rPr>
        <w:t>O’Connor, J.</w:t>
      </w:r>
      <w:r w:rsidR="008238FC">
        <w:rPr>
          <w:smallCaps/>
        </w:rPr>
        <w:tab/>
      </w:r>
      <w:r w:rsidR="008238FC">
        <w:rPr>
          <w:smallCaps/>
        </w:rPr>
        <w:tab/>
      </w:r>
      <w:r w:rsidR="008238FC">
        <w:t>Reverse?</w:t>
      </w:r>
      <w:r w:rsidR="008238FC">
        <w:rPr>
          <w:rStyle w:val="FootnoteReference"/>
        </w:rPr>
        <w:footnoteReference w:id="9"/>
      </w:r>
    </w:p>
    <w:p w:rsidR="00D0291B" w:rsidRDefault="008238FC">
      <w:r>
        <w:t xml:space="preserve">County attorney has no authority to order sheriff to </w:t>
      </w:r>
      <w:r>
        <w:rPr>
          <w:i/>
        </w:rPr>
        <w:t>seize.</w:t>
      </w:r>
    </w:p>
    <w:p w:rsidR="008238FC" w:rsidRDefault="008238FC">
      <w:r>
        <w:t>But county attorney said this ok under Ohio law</w:t>
      </w:r>
    </w:p>
    <w:p w:rsidR="008238FC" w:rsidRDefault="008238FC">
      <w:r>
        <w:t>Therefore reverse?</w:t>
      </w:r>
    </w:p>
    <w:p w:rsidR="008238FC" w:rsidRDefault="008238FC">
      <w:r>
        <w:t xml:space="preserve">Could join opinion reaching </w:t>
      </w:r>
      <w:proofErr w:type="spellStart"/>
      <w:r>
        <w:t>Steagald</w:t>
      </w:r>
      <w:proofErr w:type="spellEnd"/>
      <w:r>
        <w:t xml:space="preserve"> and saying </w:t>
      </w:r>
      <w:r>
        <w:rPr>
          <w:u w:val="single"/>
        </w:rPr>
        <w:t>not</w:t>
      </w:r>
      <w:r>
        <w:t xml:space="preserve"> retroactive.</w:t>
      </w:r>
    </w:p>
    <w:p w:rsidR="008238FC" w:rsidRPr="008238FC" w:rsidRDefault="00F51908">
      <w:proofErr w:type="gramStart"/>
      <w:r w:rsidRPr="00F51908">
        <w:t>With</w:t>
      </w:r>
      <w:r>
        <w:rPr>
          <w:i/>
        </w:rPr>
        <w:t xml:space="preserve"> </w:t>
      </w:r>
      <w:r w:rsidR="008238FC">
        <w:t xml:space="preserve"> BRW</w:t>
      </w:r>
      <w:proofErr w:type="gramEnd"/>
      <w:r w:rsidR="008238FC">
        <w:t xml:space="preserve"> </w:t>
      </w:r>
      <w:r w:rsidRPr="00F51908">
        <w:rPr>
          <w:i/>
        </w:rPr>
        <w:t>approximate</w:t>
      </w:r>
      <w:r w:rsidRPr="00F51908">
        <w:rPr>
          <w:rStyle w:val="FootnoteReference"/>
        </w:rPr>
        <w:footnoteReference w:id="10"/>
      </w:r>
      <w:r w:rsidR="008238FC" w:rsidRPr="00F51908">
        <w:t xml:space="preserve"> </w:t>
      </w:r>
      <w:r w:rsidR="008238FC">
        <w:t xml:space="preserve">concerns.  </w:t>
      </w:r>
    </w:p>
    <w:sectPr w:rsidR="008238FC" w:rsidRPr="008238FC" w:rsidSect="00F82E84">
      <w:pgSz w:w="12240" w:h="15840"/>
      <w:pgMar w:top="1260" w:right="1800" w:bottom="16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6B" w:rsidRDefault="00490A6B">
      <w:r>
        <w:separator/>
      </w:r>
    </w:p>
  </w:endnote>
  <w:endnote w:type="continuationSeparator" w:id="0">
    <w:p w:rsidR="00490A6B" w:rsidRDefault="004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6B" w:rsidRDefault="00490A6B">
      <w:r>
        <w:separator/>
      </w:r>
    </w:p>
  </w:footnote>
  <w:footnote w:type="continuationSeparator" w:id="0">
    <w:p w:rsidR="00490A6B" w:rsidRDefault="00490A6B">
      <w:r>
        <w:continuationSeparator/>
      </w:r>
    </w:p>
  </w:footnote>
  <w:footnote w:id="1">
    <w:p w:rsidR="008F431F" w:rsidRDefault="008F431F" w:rsidP="00565B0A">
      <w:r>
        <w:rPr>
          <w:rStyle w:val="FootnoteReference"/>
        </w:rPr>
        <w:footnoteRef/>
      </w:r>
      <w:r w:rsidR="00277D39" w:rsidRPr="001C0AB4">
        <w:rPr>
          <w:sz w:val="20"/>
          <w:szCs w:val="20"/>
        </w:rPr>
        <w:t xml:space="preserve">Words added by </w:t>
      </w:r>
      <w:r w:rsidR="0056457C" w:rsidRPr="001C0AB4">
        <w:rPr>
          <w:sz w:val="20"/>
          <w:szCs w:val="20"/>
        </w:rPr>
        <w:t xml:space="preserve">the </w:t>
      </w:r>
      <w:r w:rsidR="00277D39" w:rsidRPr="001C0AB4">
        <w:rPr>
          <w:sz w:val="20"/>
          <w:szCs w:val="20"/>
        </w:rPr>
        <w:t xml:space="preserve">editor </w:t>
      </w:r>
      <w:r w:rsidR="0056457C" w:rsidRPr="001C0AB4">
        <w:rPr>
          <w:sz w:val="20"/>
          <w:szCs w:val="20"/>
        </w:rPr>
        <w:t xml:space="preserve">for clarity </w:t>
      </w:r>
      <w:r w:rsidR="00277D39" w:rsidRPr="001C0AB4">
        <w:rPr>
          <w:sz w:val="20"/>
          <w:szCs w:val="20"/>
        </w:rPr>
        <w:t>are enclosed in brackets</w:t>
      </w:r>
      <w:r w:rsidR="0056457C" w:rsidRPr="001C0AB4">
        <w:rPr>
          <w:sz w:val="20"/>
          <w:szCs w:val="20"/>
        </w:rPr>
        <w:t xml:space="preserve"> as are editor comments</w:t>
      </w:r>
      <w:r w:rsidR="00277D39" w:rsidRPr="001C0AB4">
        <w:rPr>
          <w:sz w:val="20"/>
          <w:szCs w:val="20"/>
        </w:rPr>
        <w:t xml:space="preserve">.  </w:t>
      </w:r>
      <w:r w:rsidR="006F7FC4" w:rsidRPr="001C0AB4">
        <w:rPr>
          <w:sz w:val="20"/>
          <w:szCs w:val="20"/>
        </w:rPr>
        <w:t>I</w:t>
      </w:r>
      <w:r w:rsidR="00277D39" w:rsidRPr="001C0AB4">
        <w:rPr>
          <w:sz w:val="20"/>
          <w:szCs w:val="20"/>
        </w:rPr>
        <w:t xml:space="preserve">nterpretations </w:t>
      </w:r>
      <w:r w:rsidR="006F7FC4" w:rsidRPr="001C0AB4">
        <w:rPr>
          <w:sz w:val="20"/>
          <w:szCs w:val="20"/>
        </w:rPr>
        <w:t>of which the editor is particularly uncertain are indicated in italics and alternative interpretations</w:t>
      </w:r>
      <w:r w:rsidR="009F2487" w:rsidRPr="001C0AB4">
        <w:rPr>
          <w:sz w:val="20"/>
          <w:szCs w:val="20"/>
        </w:rPr>
        <w:t xml:space="preserve"> may be indicated in footnotes</w:t>
      </w:r>
      <w:r w:rsidR="006F7FC4" w:rsidRPr="001C0AB4">
        <w:rPr>
          <w:sz w:val="20"/>
          <w:szCs w:val="20"/>
        </w:rPr>
        <w:t>.</w:t>
      </w:r>
      <w:r w:rsidR="00277D39" w:rsidRPr="001C0AB4">
        <w:rPr>
          <w:sz w:val="20"/>
          <w:szCs w:val="20"/>
        </w:rPr>
        <w:t xml:space="preserve"> </w:t>
      </w:r>
      <w:r w:rsidR="005E0608" w:rsidRPr="001C0AB4">
        <w:rPr>
          <w:sz w:val="20"/>
          <w:szCs w:val="20"/>
        </w:rPr>
        <w:t xml:space="preserve"> </w:t>
      </w:r>
      <w:r w:rsidR="002123BD" w:rsidRPr="001C0AB4">
        <w:rPr>
          <w:sz w:val="20"/>
          <w:szCs w:val="20"/>
        </w:rPr>
        <w:t xml:space="preserve">Items in </w:t>
      </w:r>
      <w:r w:rsidR="002123BD" w:rsidRPr="001C0AB4">
        <w:rPr>
          <w:smallCaps/>
          <w:sz w:val="20"/>
          <w:szCs w:val="20"/>
        </w:rPr>
        <w:t>small caps</w:t>
      </w:r>
      <w:r w:rsidR="002123BD" w:rsidRPr="001C0AB4">
        <w:rPr>
          <w:sz w:val="20"/>
          <w:szCs w:val="20"/>
        </w:rPr>
        <w:t xml:space="preserve"> were printed or typed </w:t>
      </w:r>
      <w:r w:rsidR="005C60FC" w:rsidRPr="001C0AB4">
        <w:rPr>
          <w:sz w:val="20"/>
          <w:szCs w:val="20"/>
        </w:rPr>
        <w:t xml:space="preserve">in the original </w:t>
      </w:r>
      <w:r w:rsidR="002123BD" w:rsidRPr="001C0AB4">
        <w:rPr>
          <w:sz w:val="20"/>
          <w:szCs w:val="20"/>
        </w:rPr>
        <w:t xml:space="preserve">rather than handwritten.  </w:t>
      </w:r>
    </w:p>
  </w:footnote>
  <w:footnote w:id="2">
    <w:p w:rsidR="002F75EC" w:rsidRDefault="002F75EC">
      <w:pPr>
        <w:pStyle w:val="FootnoteText"/>
      </w:pPr>
      <w:r>
        <w:rPr>
          <w:rStyle w:val="FootnoteReference"/>
        </w:rPr>
        <w:footnoteRef/>
      </w:r>
      <w:r>
        <w:t xml:space="preserve"> The first page included comments by Chief Justice Burger and Justices Brennan, White and Marshall.  They are so extensive that I have had to put them on two pages.  </w:t>
      </w:r>
    </w:p>
  </w:footnote>
  <w:footnote w:id="3">
    <w:p w:rsidR="00565B0A" w:rsidRDefault="00565B0A">
      <w:pPr>
        <w:pStyle w:val="FootnoteText"/>
      </w:pPr>
      <w:r>
        <w:rPr>
          <w:rStyle w:val="FootnoteReference"/>
        </w:rPr>
        <w:footnoteRef/>
      </w:r>
      <w:r w:rsidR="003A4AD6">
        <w:t xml:space="preserve"> This appears to be “</w:t>
      </w:r>
      <w:proofErr w:type="spellStart"/>
      <w:r w:rsidR="003A4AD6">
        <w:t>Eee</w:t>
      </w:r>
      <w:proofErr w:type="spellEnd"/>
      <w:r>
        <w:t>”</w:t>
      </w:r>
      <w:r w:rsidR="003A4AD6">
        <w:t xml:space="preserve"> or “</w:t>
      </w:r>
      <w:proofErr w:type="spellStart"/>
      <w:r w:rsidR="003A4AD6">
        <w:t>Ee</w:t>
      </w:r>
      <w:proofErr w:type="spellEnd"/>
      <w:r w:rsidR="003A4AD6">
        <w:t>,”</w:t>
      </w:r>
      <w:r>
        <w:t xml:space="preserve"> an abbreviation for employee.  This reading is consistent with Brennan’s typewritten notes prepared for the conference.</w:t>
      </w:r>
    </w:p>
  </w:footnote>
  <w:footnote w:id="4">
    <w:p w:rsidR="004213B2" w:rsidRDefault="004213B2">
      <w:pPr>
        <w:pStyle w:val="FootnoteText"/>
      </w:pPr>
      <w:r>
        <w:rPr>
          <w:rStyle w:val="FootnoteReference"/>
        </w:rPr>
        <w:footnoteRef/>
      </w:r>
      <w:r>
        <w:t xml:space="preserve"> Brennan’s pre-conference notes indicate that he would give, as an example of a single act that would be policy, the President’s decision to intercept the </w:t>
      </w:r>
      <w:proofErr w:type="spellStart"/>
      <w:r>
        <w:t>Achille</w:t>
      </w:r>
      <w:proofErr w:type="spellEnd"/>
      <w:r>
        <w:t xml:space="preserve"> </w:t>
      </w:r>
      <w:proofErr w:type="spellStart"/>
      <w:r>
        <w:t>Lauro</w:t>
      </w:r>
      <w:proofErr w:type="spellEnd"/>
      <w:r>
        <w:t xml:space="preserve"> hijackers.  </w:t>
      </w:r>
      <w:r w:rsidR="003A4AD6">
        <w:t>Justice Blackmun frequently used the</w:t>
      </w:r>
      <w:r>
        <w:t xml:space="preserve"> “@” </w:t>
      </w:r>
      <w:r w:rsidR="003A4AD6">
        <w:t>to mean “consider” or a variant such as “consideration</w:t>
      </w:r>
      <w:r>
        <w:t>.</w:t>
      </w:r>
      <w:r w:rsidR="003A4AD6">
        <w:t>”</w:t>
      </w:r>
      <w:r>
        <w:t xml:space="preserve">  </w:t>
      </w:r>
    </w:p>
  </w:footnote>
  <w:footnote w:id="5">
    <w:p w:rsidR="004213B2" w:rsidRDefault="004213B2">
      <w:pPr>
        <w:pStyle w:val="FootnoteText"/>
      </w:pPr>
      <w:r>
        <w:rPr>
          <w:rStyle w:val="FootnoteReference"/>
        </w:rPr>
        <w:footnoteRef/>
      </w:r>
      <w:r>
        <w:t xml:space="preserve"> See note </w:t>
      </w:r>
      <w:r w:rsidR="003A4AD6">
        <w:t>4.</w:t>
      </w:r>
    </w:p>
  </w:footnote>
  <w:footnote w:id="6">
    <w:p w:rsidR="00220BB9" w:rsidRDefault="00220BB9">
      <w:pPr>
        <w:pStyle w:val="FootnoteText"/>
      </w:pPr>
      <w:r>
        <w:rPr>
          <w:rStyle w:val="FootnoteReference"/>
        </w:rPr>
        <w:footnoteRef/>
      </w:r>
      <w:r>
        <w:t xml:space="preserve"> Probably meant that, at the trial, the argument was that there was no constitutional violation.</w:t>
      </w:r>
    </w:p>
  </w:footnote>
  <w:footnote w:id="7">
    <w:p w:rsidR="005C2937" w:rsidRDefault="005C29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4A64">
        <w:t>This word is extremely unclear.  I’ve read it as “</w:t>
      </w:r>
      <w:proofErr w:type="spellStart"/>
      <w:r w:rsidR="001A4A64">
        <w:t>rcmed</w:t>
      </w:r>
      <w:proofErr w:type="spellEnd"/>
      <w:r w:rsidR="001A4A64">
        <w:t xml:space="preserve">” – an abbreviation for recommended.   It could also be “named” – possibly in the sense of “called.”  See the next footnote.  </w:t>
      </w:r>
    </w:p>
  </w:footnote>
  <w:footnote w:id="8">
    <w:p w:rsidR="005C3962" w:rsidRDefault="005C3962">
      <w:pPr>
        <w:pStyle w:val="FootnoteText"/>
      </w:pPr>
      <w:r>
        <w:rPr>
          <w:rStyle w:val="FootnoteReference"/>
        </w:rPr>
        <w:footnoteRef/>
      </w:r>
      <w:r>
        <w:t xml:space="preserve"> This could either be the abbreviation “co” for county or the word “so.”  </w:t>
      </w:r>
      <w:r w:rsidR="005C2937">
        <w:t>Depending on the meaning of the section mark and</w:t>
      </w:r>
      <w:r>
        <w:t xml:space="preserve"> the illegible </w:t>
      </w:r>
      <w:r w:rsidR="005C2937">
        <w:t xml:space="preserve">word, this sentence could be something like, “The County attorney </w:t>
      </w:r>
      <w:r w:rsidR="001A4A64">
        <w:t>named</w:t>
      </w:r>
      <w:r w:rsidR="005C2937">
        <w:t xml:space="preserve"> the violation county policy” or something like, “The county attorney </w:t>
      </w:r>
      <w:r w:rsidR="001A4A64">
        <w:t>recommended</w:t>
      </w:r>
      <w:r w:rsidR="005C2937">
        <w:t xml:space="preserve"> the violation, so [it was] county policy.</w:t>
      </w:r>
      <w:r w:rsidR="001A4A64">
        <w:t>”</w:t>
      </w:r>
      <w:r w:rsidR="005C2937">
        <w:t xml:space="preserve">  </w:t>
      </w:r>
      <w:r w:rsidR="001A4A64">
        <w:t xml:space="preserve">I think the latter is the more likely reading, but the manuscript is very unclear.  </w:t>
      </w:r>
    </w:p>
  </w:footnote>
  <w:footnote w:id="9">
    <w:p w:rsidR="008238FC" w:rsidRDefault="008238FC">
      <w:pPr>
        <w:pStyle w:val="FootnoteText"/>
      </w:pPr>
      <w:r>
        <w:rPr>
          <w:rStyle w:val="FootnoteReference"/>
        </w:rPr>
        <w:footnoteRef/>
      </w:r>
      <w:r>
        <w:t xml:space="preserve"> The manuscript indicates that a “+” sing (HAB’s shorthand for affirm) was crossed out and a “-” sign (HAB’s shorthand for reverse) written over it.</w:t>
      </w:r>
    </w:p>
  </w:footnote>
  <w:footnote w:id="10">
    <w:p w:rsidR="00F51908" w:rsidRDefault="00F51908" w:rsidP="00F51908">
      <w:pPr>
        <w:pStyle w:val="FootnoteText"/>
      </w:pPr>
      <w:r>
        <w:rPr>
          <w:rStyle w:val="FootnoteReference"/>
        </w:rPr>
        <w:footnoteRef/>
      </w:r>
      <w:r>
        <w:t xml:space="preserve"> The abbreviation is “ca” as in “circa.”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8A"/>
    <w:rsid w:val="00030E70"/>
    <w:rsid w:val="00045B46"/>
    <w:rsid w:val="00046340"/>
    <w:rsid w:val="00064862"/>
    <w:rsid w:val="000736FB"/>
    <w:rsid w:val="00076175"/>
    <w:rsid w:val="00082CAE"/>
    <w:rsid w:val="000859F7"/>
    <w:rsid w:val="00085CB3"/>
    <w:rsid w:val="000D0310"/>
    <w:rsid w:val="000D0FD8"/>
    <w:rsid w:val="000F3554"/>
    <w:rsid w:val="00110297"/>
    <w:rsid w:val="00113CC4"/>
    <w:rsid w:val="00114F4E"/>
    <w:rsid w:val="00121ABC"/>
    <w:rsid w:val="00123868"/>
    <w:rsid w:val="001342C4"/>
    <w:rsid w:val="00140B70"/>
    <w:rsid w:val="00141AA6"/>
    <w:rsid w:val="00142821"/>
    <w:rsid w:val="001473FD"/>
    <w:rsid w:val="0017071E"/>
    <w:rsid w:val="00173814"/>
    <w:rsid w:val="001804ED"/>
    <w:rsid w:val="001861CE"/>
    <w:rsid w:val="0018782B"/>
    <w:rsid w:val="001900BC"/>
    <w:rsid w:val="00191754"/>
    <w:rsid w:val="00191963"/>
    <w:rsid w:val="001A237D"/>
    <w:rsid w:val="001A4A64"/>
    <w:rsid w:val="001C0AB4"/>
    <w:rsid w:val="001D48FC"/>
    <w:rsid w:val="001E1743"/>
    <w:rsid w:val="001E4E29"/>
    <w:rsid w:val="001F0626"/>
    <w:rsid w:val="001F2D8E"/>
    <w:rsid w:val="00204973"/>
    <w:rsid w:val="00206C85"/>
    <w:rsid w:val="00207111"/>
    <w:rsid w:val="002118A2"/>
    <w:rsid w:val="002123BD"/>
    <w:rsid w:val="00220BB9"/>
    <w:rsid w:val="002262C4"/>
    <w:rsid w:val="00227FC7"/>
    <w:rsid w:val="002433FC"/>
    <w:rsid w:val="0024366C"/>
    <w:rsid w:val="002517E9"/>
    <w:rsid w:val="002553BA"/>
    <w:rsid w:val="00255AE5"/>
    <w:rsid w:val="002751D2"/>
    <w:rsid w:val="002759A1"/>
    <w:rsid w:val="00275E3D"/>
    <w:rsid w:val="00277D39"/>
    <w:rsid w:val="00294041"/>
    <w:rsid w:val="002A3C64"/>
    <w:rsid w:val="002B526D"/>
    <w:rsid w:val="002C54C1"/>
    <w:rsid w:val="002C6C85"/>
    <w:rsid w:val="002D1D98"/>
    <w:rsid w:val="002E206A"/>
    <w:rsid w:val="002F298C"/>
    <w:rsid w:val="002F43A6"/>
    <w:rsid w:val="002F587E"/>
    <w:rsid w:val="002F7296"/>
    <w:rsid w:val="002F75EC"/>
    <w:rsid w:val="00300B1C"/>
    <w:rsid w:val="00316357"/>
    <w:rsid w:val="003338AC"/>
    <w:rsid w:val="00337B40"/>
    <w:rsid w:val="00343B88"/>
    <w:rsid w:val="00344E11"/>
    <w:rsid w:val="00355ED7"/>
    <w:rsid w:val="00356A8E"/>
    <w:rsid w:val="00366462"/>
    <w:rsid w:val="0038051F"/>
    <w:rsid w:val="0038765F"/>
    <w:rsid w:val="00397263"/>
    <w:rsid w:val="003A4AD6"/>
    <w:rsid w:val="003B216A"/>
    <w:rsid w:val="003D4210"/>
    <w:rsid w:val="003D65FB"/>
    <w:rsid w:val="003E5D54"/>
    <w:rsid w:val="00403A8B"/>
    <w:rsid w:val="0041415D"/>
    <w:rsid w:val="004213B2"/>
    <w:rsid w:val="00425FB5"/>
    <w:rsid w:val="00447B9B"/>
    <w:rsid w:val="004604F8"/>
    <w:rsid w:val="00461A7B"/>
    <w:rsid w:val="00490A6B"/>
    <w:rsid w:val="00491F52"/>
    <w:rsid w:val="004B0CF1"/>
    <w:rsid w:val="004B5AF1"/>
    <w:rsid w:val="004C4334"/>
    <w:rsid w:val="004C7A92"/>
    <w:rsid w:val="004E2370"/>
    <w:rsid w:val="004F0CF0"/>
    <w:rsid w:val="004F7F69"/>
    <w:rsid w:val="00506A59"/>
    <w:rsid w:val="00513283"/>
    <w:rsid w:val="005145DA"/>
    <w:rsid w:val="00524CFE"/>
    <w:rsid w:val="00531440"/>
    <w:rsid w:val="005404D0"/>
    <w:rsid w:val="005427BF"/>
    <w:rsid w:val="005448FB"/>
    <w:rsid w:val="00556879"/>
    <w:rsid w:val="00561231"/>
    <w:rsid w:val="00563189"/>
    <w:rsid w:val="0056457C"/>
    <w:rsid w:val="00565B0A"/>
    <w:rsid w:val="0057269F"/>
    <w:rsid w:val="00595DCE"/>
    <w:rsid w:val="005A033F"/>
    <w:rsid w:val="005A1984"/>
    <w:rsid w:val="005C2937"/>
    <w:rsid w:val="005C3962"/>
    <w:rsid w:val="005C60FC"/>
    <w:rsid w:val="005C673E"/>
    <w:rsid w:val="005C722D"/>
    <w:rsid w:val="005E0608"/>
    <w:rsid w:val="006052AB"/>
    <w:rsid w:val="0062125E"/>
    <w:rsid w:val="00636AE0"/>
    <w:rsid w:val="00647D48"/>
    <w:rsid w:val="00650432"/>
    <w:rsid w:val="00652E4E"/>
    <w:rsid w:val="006537B2"/>
    <w:rsid w:val="0066066D"/>
    <w:rsid w:val="00665CE9"/>
    <w:rsid w:val="00667E7C"/>
    <w:rsid w:val="00674676"/>
    <w:rsid w:val="00683003"/>
    <w:rsid w:val="00684915"/>
    <w:rsid w:val="006B02D0"/>
    <w:rsid w:val="006B34F1"/>
    <w:rsid w:val="006B40ED"/>
    <w:rsid w:val="006D03B0"/>
    <w:rsid w:val="006F7FC4"/>
    <w:rsid w:val="00725C5D"/>
    <w:rsid w:val="007473DD"/>
    <w:rsid w:val="00767960"/>
    <w:rsid w:val="00767BDF"/>
    <w:rsid w:val="00770E3A"/>
    <w:rsid w:val="00772953"/>
    <w:rsid w:val="0078525E"/>
    <w:rsid w:val="007B4D9B"/>
    <w:rsid w:val="007C3DD3"/>
    <w:rsid w:val="007D6A1F"/>
    <w:rsid w:val="007E1067"/>
    <w:rsid w:val="007E10CA"/>
    <w:rsid w:val="00805FD1"/>
    <w:rsid w:val="008238FC"/>
    <w:rsid w:val="008374C4"/>
    <w:rsid w:val="0085075A"/>
    <w:rsid w:val="00850F01"/>
    <w:rsid w:val="00851C49"/>
    <w:rsid w:val="00857C5E"/>
    <w:rsid w:val="0086367A"/>
    <w:rsid w:val="00864938"/>
    <w:rsid w:val="008721D2"/>
    <w:rsid w:val="008760DB"/>
    <w:rsid w:val="008778B3"/>
    <w:rsid w:val="00892745"/>
    <w:rsid w:val="008A1D1D"/>
    <w:rsid w:val="008B38AF"/>
    <w:rsid w:val="008C3169"/>
    <w:rsid w:val="008C6558"/>
    <w:rsid w:val="008C7538"/>
    <w:rsid w:val="008F431F"/>
    <w:rsid w:val="00912D95"/>
    <w:rsid w:val="00920342"/>
    <w:rsid w:val="00931215"/>
    <w:rsid w:val="009422D1"/>
    <w:rsid w:val="009423A5"/>
    <w:rsid w:val="00945D13"/>
    <w:rsid w:val="00987A71"/>
    <w:rsid w:val="009902A9"/>
    <w:rsid w:val="009A01DB"/>
    <w:rsid w:val="009A47D1"/>
    <w:rsid w:val="009A63B4"/>
    <w:rsid w:val="009B7DDA"/>
    <w:rsid w:val="009C626D"/>
    <w:rsid w:val="009F2487"/>
    <w:rsid w:val="009F7F77"/>
    <w:rsid w:val="00A0041C"/>
    <w:rsid w:val="00A07262"/>
    <w:rsid w:val="00A12BCB"/>
    <w:rsid w:val="00A16C4F"/>
    <w:rsid w:val="00A24E43"/>
    <w:rsid w:val="00A27D99"/>
    <w:rsid w:val="00A40FDC"/>
    <w:rsid w:val="00A44A09"/>
    <w:rsid w:val="00A61237"/>
    <w:rsid w:val="00A716F6"/>
    <w:rsid w:val="00A92547"/>
    <w:rsid w:val="00AB6667"/>
    <w:rsid w:val="00AC2BE6"/>
    <w:rsid w:val="00AF4F83"/>
    <w:rsid w:val="00B02ADC"/>
    <w:rsid w:val="00B03F6E"/>
    <w:rsid w:val="00B220E1"/>
    <w:rsid w:val="00B32E9B"/>
    <w:rsid w:val="00B373D9"/>
    <w:rsid w:val="00B5238A"/>
    <w:rsid w:val="00B839BF"/>
    <w:rsid w:val="00B849D6"/>
    <w:rsid w:val="00BB015C"/>
    <w:rsid w:val="00BB4B87"/>
    <w:rsid w:val="00BC064A"/>
    <w:rsid w:val="00BC1B6C"/>
    <w:rsid w:val="00BF0E5B"/>
    <w:rsid w:val="00C151CC"/>
    <w:rsid w:val="00C22871"/>
    <w:rsid w:val="00C444D8"/>
    <w:rsid w:val="00C541CE"/>
    <w:rsid w:val="00C627AA"/>
    <w:rsid w:val="00C655DF"/>
    <w:rsid w:val="00C75953"/>
    <w:rsid w:val="00C77CB1"/>
    <w:rsid w:val="00C81A42"/>
    <w:rsid w:val="00C8368F"/>
    <w:rsid w:val="00CA2235"/>
    <w:rsid w:val="00CA3C93"/>
    <w:rsid w:val="00CB7F98"/>
    <w:rsid w:val="00CC12B0"/>
    <w:rsid w:val="00CD30EA"/>
    <w:rsid w:val="00CD77A9"/>
    <w:rsid w:val="00CF013D"/>
    <w:rsid w:val="00CF1D09"/>
    <w:rsid w:val="00D0291B"/>
    <w:rsid w:val="00D06940"/>
    <w:rsid w:val="00D11999"/>
    <w:rsid w:val="00D31C2C"/>
    <w:rsid w:val="00D45F8B"/>
    <w:rsid w:val="00D62999"/>
    <w:rsid w:val="00D67DDC"/>
    <w:rsid w:val="00D71566"/>
    <w:rsid w:val="00D72BBA"/>
    <w:rsid w:val="00D751B1"/>
    <w:rsid w:val="00D85CFC"/>
    <w:rsid w:val="00D87865"/>
    <w:rsid w:val="00DA125D"/>
    <w:rsid w:val="00DA1D0A"/>
    <w:rsid w:val="00DA3491"/>
    <w:rsid w:val="00DA6D3D"/>
    <w:rsid w:val="00DB11CC"/>
    <w:rsid w:val="00DC45B0"/>
    <w:rsid w:val="00DC64C5"/>
    <w:rsid w:val="00DD57F2"/>
    <w:rsid w:val="00DD6127"/>
    <w:rsid w:val="00E005AB"/>
    <w:rsid w:val="00E13708"/>
    <w:rsid w:val="00E26780"/>
    <w:rsid w:val="00E34924"/>
    <w:rsid w:val="00E34941"/>
    <w:rsid w:val="00E41D0D"/>
    <w:rsid w:val="00E47823"/>
    <w:rsid w:val="00E71936"/>
    <w:rsid w:val="00E77A93"/>
    <w:rsid w:val="00E87B0C"/>
    <w:rsid w:val="00EA55B5"/>
    <w:rsid w:val="00EB10CA"/>
    <w:rsid w:val="00EB6286"/>
    <w:rsid w:val="00ED368F"/>
    <w:rsid w:val="00F10571"/>
    <w:rsid w:val="00F26F09"/>
    <w:rsid w:val="00F4069D"/>
    <w:rsid w:val="00F42A52"/>
    <w:rsid w:val="00F51908"/>
    <w:rsid w:val="00F635C1"/>
    <w:rsid w:val="00F6431D"/>
    <w:rsid w:val="00F71BA0"/>
    <w:rsid w:val="00F82E84"/>
    <w:rsid w:val="00F83793"/>
    <w:rsid w:val="00F94519"/>
    <w:rsid w:val="00FA1F6A"/>
    <w:rsid w:val="00FB0C9E"/>
    <w:rsid w:val="00FB232D"/>
    <w:rsid w:val="00FB4F69"/>
    <w:rsid w:val="00FB68A3"/>
    <w:rsid w:val="00FC745E"/>
    <w:rsid w:val="00FD31FF"/>
    <w:rsid w:val="00FD40FC"/>
    <w:rsid w:val="00FD6CBE"/>
    <w:rsid w:val="00FF44F9"/>
    <w:rsid w:val="00FF6BD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 fill="f" fillcolor="white">
      <v:fill color="white" opacity="0" on="f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300985FC-E238-4AA8-8D4E-BF55D6B3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F431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F431F"/>
    <w:rPr>
      <w:vertAlign w:val="superscript"/>
    </w:rPr>
  </w:style>
  <w:style w:type="character" w:styleId="CommentReference">
    <w:name w:val="annotation reference"/>
    <w:basedOn w:val="DefaultParagraphFont"/>
    <w:semiHidden/>
    <w:rsid w:val="0085075A"/>
    <w:rPr>
      <w:sz w:val="16"/>
      <w:szCs w:val="16"/>
    </w:rPr>
  </w:style>
  <w:style w:type="paragraph" w:styleId="CommentText">
    <w:name w:val="annotation text"/>
    <w:basedOn w:val="Normal"/>
    <w:semiHidden/>
    <w:rsid w:val="0085075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075A"/>
    <w:rPr>
      <w:b/>
      <w:bCs/>
    </w:rPr>
  </w:style>
  <w:style w:type="paragraph" w:styleId="BalloonText">
    <w:name w:val="Balloon Text"/>
    <w:basedOn w:val="Normal"/>
    <w:semiHidden/>
    <w:rsid w:val="0085075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8F38-15B5-4CC0-8EEA-21FC3D95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HAB258F20053-54 – [HAB’s docket sheet and notes on 11/4 Conference]</vt:lpstr>
    </vt:vector>
  </TitlesOfParts>
  <Company>UMKC Information Serivces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HAB258F20053-54 – [HAB’s docket sheet and notes on 11/4 Conference]</dc:title>
  <dc:subject/>
  <dc:creator>AchtenbergD</dc:creator>
  <cp:keywords/>
  <dc:description/>
  <cp:lastModifiedBy>Achtenberg, David</cp:lastModifiedBy>
  <cp:revision>9</cp:revision>
  <dcterms:created xsi:type="dcterms:W3CDTF">2010-08-28T18:30:00Z</dcterms:created>
  <dcterms:modified xsi:type="dcterms:W3CDTF">2015-06-16T22:08:00Z</dcterms:modified>
</cp:coreProperties>
</file>