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26" w:rsidRDefault="001F0626" w:rsidP="001F0626">
      <w:pPr>
        <w:jc w:val="center"/>
        <w:rPr>
          <w:b/>
          <w:u w:val="single"/>
        </w:rPr>
      </w:pPr>
      <w:r w:rsidRPr="00082CAE">
        <w:rPr>
          <w:b/>
          <w:u w:val="single"/>
        </w:rPr>
        <w:t>[</w:t>
      </w:r>
      <w:r w:rsidR="00191963" w:rsidRPr="00D41F1F">
        <w:rPr>
          <w:b/>
          <w:u w:val="single"/>
        </w:rPr>
        <w:t>Brennan</w:t>
      </w:r>
      <w:r w:rsidRPr="00D41F1F">
        <w:rPr>
          <w:b/>
          <w:u w:val="single"/>
        </w:rPr>
        <w:t xml:space="preserve"> Conference Notes 11-04-78 </w:t>
      </w:r>
      <w:r w:rsidR="00191963" w:rsidRPr="00D41F1F">
        <w:rPr>
          <w:b/>
          <w:u w:val="single"/>
        </w:rPr>
        <w:t>WJB</w:t>
      </w:r>
      <w:r w:rsidR="00D41F1F" w:rsidRPr="00D41F1F">
        <w:rPr>
          <w:b/>
          <w:u w:val="single"/>
        </w:rPr>
        <w:t>692F100003-4</w:t>
      </w:r>
      <w:r w:rsidRPr="00D41F1F">
        <w:rPr>
          <w:b/>
          <w:u w:val="single"/>
        </w:rPr>
        <w:t>]</w:t>
      </w:r>
      <w:r w:rsidR="008F431F" w:rsidRPr="00D41F1F">
        <w:rPr>
          <w:rStyle w:val="FootnoteReference"/>
          <w:b/>
        </w:rPr>
        <w:footnoteReference w:id="1"/>
      </w:r>
    </w:p>
    <w:p w:rsidR="0038765F" w:rsidRDefault="0038765F" w:rsidP="001F0626">
      <w:pPr>
        <w:jc w:val="center"/>
        <w:rPr>
          <w:b/>
          <w:u w:val="single"/>
        </w:rPr>
      </w:pPr>
    </w:p>
    <w:p w:rsidR="001F0626" w:rsidRDefault="001F0626" w:rsidP="001F0626">
      <w:pPr>
        <w:jc w:val="center"/>
        <w:rPr>
          <w:b/>
        </w:rPr>
      </w:pPr>
      <w:r w:rsidRPr="001F0626">
        <w:rPr>
          <w:b/>
        </w:rPr>
        <w:t>[1st Page – Image</w:t>
      </w:r>
      <w:r w:rsidR="00D41F1F">
        <w:rPr>
          <w:b/>
        </w:rPr>
        <w:t xml:space="preserve"> </w:t>
      </w:r>
      <w:r w:rsidR="00D41F1F" w:rsidRPr="00D41F1F">
        <w:rPr>
          <w:b/>
        </w:rPr>
        <w:t>WJB692F100003</w:t>
      </w:r>
      <w:r w:rsidRPr="00BC1B6C">
        <w:rPr>
          <w:b/>
        </w:rPr>
        <w:t>]</w:t>
      </w:r>
    </w:p>
    <w:p w:rsidR="001342C4" w:rsidRPr="001F0626" w:rsidRDefault="004F7F69" w:rsidP="001F0626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rect id="_x0000_s1073" style="position:absolute;left:0;text-align:left;margin-left:-27pt;margin-top:12.6pt;width:7in;height:7in;z-index:-251657728" filled="f">
            <v:fill opacity="0"/>
          </v:rect>
        </w:pict>
      </w:r>
    </w:p>
    <w:p w:rsidR="00B5238A" w:rsidRPr="001C0E8A" w:rsidRDefault="00B5238A" w:rsidP="00B5238A">
      <w:pPr>
        <w:tabs>
          <w:tab w:val="left" w:pos="720"/>
        </w:tabs>
        <w:rPr>
          <w:u w:val="single"/>
        </w:rPr>
      </w:pPr>
    </w:p>
    <w:p w:rsidR="00B5238A" w:rsidRPr="00D41F1F" w:rsidRDefault="00B5238A" w:rsidP="00D41F1F">
      <w:pPr>
        <w:tabs>
          <w:tab w:val="left" w:pos="1800"/>
        </w:tabs>
        <w:ind w:left="1800" w:hanging="1800"/>
        <w:rPr>
          <w:b/>
          <w:smallCaps/>
        </w:rPr>
      </w:pPr>
      <w:r w:rsidRPr="00D41F1F">
        <w:rPr>
          <w:b/>
          <w:smallCaps/>
        </w:rPr>
        <w:t xml:space="preserve">No. </w:t>
      </w:r>
      <w:r w:rsidR="00D41F1F" w:rsidRPr="00D41F1F">
        <w:rPr>
          <w:b/>
          <w:smallCaps/>
          <w:u w:val="single"/>
        </w:rPr>
        <w:t>84-1160</w:t>
      </w:r>
      <w:r w:rsidR="00D41F1F" w:rsidRPr="00D41F1F">
        <w:rPr>
          <w:b/>
          <w:smallCaps/>
          <w:u w:val="single"/>
        </w:rPr>
        <w:tab/>
      </w:r>
      <w:r w:rsidRPr="00D41F1F">
        <w:rPr>
          <w:b/>
          <w:smallCaps/>
        </w:rPr>
        <w:t xml:space="preserve">, </w:t>
      </w:r>
      <w:r w:rsidR="0078525E" w:rsidRPr="00D41F1F">
        <w:rPr>
          <w:b/>
          <w:smallCaps/>
        </w:rPr>
        <w:t xml:space="preserve">  </w:t>
      </w:r>
      <w:r w:rsidR="00D41F1F" w:rsidRPr="00D41F1F">
        <w:rPr>
          <w:b/>
          <w:smallCaps/>
          <w:u w:val="single"/>
        </w:rPr>
        <w:tab/>
      </w:r>
      <w:r w:rsidR="00D41F1F" w:rsidRPr="00D41F1F">
        <w:rPr>
          <w:b/>
          <w:smallCaps/>
          <w:u w:val="single"/>
        </w:rPr>
        <w:tab/>
      </w:r>
      <w:proofErr w:type="spellStart"/>
      <w:r w:rsidR="00D41F1F" w:rsidRPr="00D41F1F">
        <w:rPr>
          <w:b/>
          <w:smallCaps/>
          <w:u w:val="single"/>
        </w:rPr>
        <w:t>Pembaur</w:t>
      </w:r>
      <w:proofErr w:type="spellEnd"/>
      <w:r w:rsidR="00D41F1F" w:rsidRPr="00D41F1F">
        <w:rPr>
          <w:b/>
          <w:smallCaps/>
          <w:u w:val="single"/>
        </w:rPr>
        <w:t xml:space="preserve"> v. Cincinnati</w:t>
      </w:r>
      <w:r w:rsidR="00D41F1F" w:rsidRPr="00D41F1F">
        <w:rPr>
          <w:b/>
          <w:smallCaps/>
          <w:u w:val="single"/>
        </w:rPr>
        <w:tab/>
      </w:r>
      <w:r w:rsidR="00D41F1F" w:rsidRPr="00D41F1F">
        <w:rPr>
          <w:b/>
          <w:smallCaps/>
          <w:u w:val="single"/>
        </w:rPr>
        <w:tab/>
      </w:r>
      <w:r w:rsidR="00D41F1F" w:rsidRPr="00D41F1F">
        <w:rPr>
          <w:b/>
          <w:smallCaps/>
          <w:u w:val="single"/>
        </w:rPr>
        <w:tab/>
      </w:r>
      <w:r w:rsidR="00D41F1F" w:rsidRPr="00D41F1F">
        <w:rPr>
          <w:b/>
          <w:smallCaps/>
          <w:u w:val="single"/>
        </w:rPr>
        <w:tab/>
      </w:r>
      <w:r w:rsidR="00D41F1F" w:rsidRPr="00D41F1F">
        <w:rPr>
          <w:b/>
          <w:smallCaps/>
          <w:u w:val="single"/>
        </w:rPr>
        <w:tab/>
      </w:r>
    </w:p>
    <w:p w:rsidR="00FD31FF" w:rsidRPr="003E5D54" w:rsidRDefault="00B5238A" w:rsidP="00B5238A">
      <w:pPr>
        <w:tabs>
          <w:tab w:val="left" w:pos="1800"/>
        </w:tabs>
        <w:ind w:left="1800" w:hanging="180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C1B6C" w:rsidRPr="003E5D54">
        <w:tab/>
      </w:r>
    </w:p>
    <w:p w:rsidR="003E5D54" w:rsidRDefault="00FA1F6A" w:rsidP="00045B46">
      <w:pPr>
        <w:tabs>
          <w:tab w:val="left" w:pos="1800"/>
        </w:tabs>
        <w:ind w:left="1800" w:hanging="1800"/>
        <w:rPr>
          <w:b/>
          <w:smallCaps/>
        </w:rPr>
      </w:pPr>
      <w:r w:rsidRPr="00857C5E">
        <w:rPr>
          <w:noProof/>
        </w:rPr>
        <w:pict>
          <v:line id="_x0000_s1054" style="position:absolute;left:0;text-align:left;z-index:251653632" from="-9pt,7.2pt" to="6in,7.2pt">
            <w10:wrap type="square"/>
          </v:line>
        </w:pict>
      </w:r>
      <w:r w:rsidRPr="00857C5E">
        <w:rPr>
          <w:b/>
          <w:smallCaps/>
        </w:rPr>
        <w:t>The Chief Justice</w:t>
      </w:r>
      <w:r w:rsidR="005427BF" w:rsidRPr="00857C5E">
        <w:rPr>
          <w:b/>
          <w:smallCaps/>
        </w:rPr>
        <w:tab/>
      </w:r>
    </w:p>
    <w:p w:rsidR="00857C5E" w:rsidRDefault="00D41F1F" w:rsidP="00045B46">
      <w:pPr>
        <w:tabs>
          <w:tab w:val="left" w:pos="1800"/>
        </w:tabs>
        <w:ind w:left="1800" w:hanging="1800"/>
      </w:pPr>
      <w:r>
        <w:t>Is prosecutor a policy making authority?</w:t>
      </w:r>
    </w:p>
    <w:p w:rsidR="00D41F1F" w:rsidRDefault="00D41F1F" w:rsidP="00D41F1F">
      <w:pPr>
        <w:tabs>
          <w:tab w:val="left" w:pos="0"/>
        </w:tabs>
      </w:pPr>
      <w:r>
        <w:t xml:space="preserve">If there was frequent practice, it would add up to policy.  </w:t>
      </w:r>
      <w:proofErr w:type="spellStart"/>
      <w:r>
        <w:t>Steagald</w:t>
      </w:r>
      <w:proofErr w:type="spellEnd"/>
      <w:r>
        <w:t xml:space="preserve"> have to be applied retroactively here?  Not preserved by City?</w:t>
      </w:r>
    </w:p>
    <w:p w:rsidR="00D41F1F" w:rsidRDefault="00D41F1F" w:rsidP="00D41F1F">
      <w:pPr>
        <w:tabs>
          <w:tab w:val="left" w:pos="0"/>
        </w:tabs>
      </w:pPr>
      <w:r>
        <w:t xml:space="preserve">Is there </w:t>
      </w:r>
      <w:r>
        <w:rPr>
          <w:i/>
        </w:rPr>
        <w:t>presence</w:t>
      </w:r>
      <w:r>
        <w:t xml:space="preserve"> of </w:t>
      </w:r>
      <w:r w:rsidRPr="00D41F1F">
        <w:rPr>
          <w:i/>
        </w:rPr>
        <w:t>conscious</w:t>
      </w:r>
      <w:r>
        <w:t xml:space="preserve"> and deliberate choice to apply for future?</w:t>
      </w:r>
    </w:p>
    <w:p w:rsidR="00D41F1F" w:rsidRPr="00D41F1F" w:rsidRDefault="00D41F1F" w:rsidP="00D41F1F">
      <w:pPr>
        <w:tabs>
          <w:tab w:val="left" w:pos="0"/>
        </w:tabs>
      </w:pPr>
      <w:r>
        <w:t>Don’t see it here.</w:t>
      </w:r>
    </w:p>
    <w:p w:rsidR="007E10CA" w:rsidRPr="00857C5E" w:rsidRDefault="00857C5E" w:rsidP="003B216A">
      <w:r w:rsidRPr="00857C5E">
        <w:rPr>
          <w:b/>
          <w:smallCaps/>
          <w:noProof/>
        </w:rPr>
        <w:pict>
          <v:line id="_x0000_s1078" style="position:absolute;z-index:251661824" from="-9pt,21.9pt" to="6in,21.9pt">
            <w10:wrap type="square"/>
          </v:line>
        </w:pict>
      </w:r>
    </w:p>
    <w:p w:rsidR="00857C5E" w:rsidRDefault="005427BF" w:rsidP="0038765F">
      <w:pPr>
        <w:tabs>
          <w:tab w:val="left" w:pos="1800"/>
        </w:tabs>
        <w:rPr>
          <w:b/>
          <w:smallCaps/>
        </w:rPr>
      </w:pPr>
      <w:proofErr w:type="gramStart"/>
      <w:r w:rsidRPr="00857C5E">
        <w:rPr>
          <w:b/>
          <w:smallCaps/>
        </w:rPr>
        <w:t>White J.</w:t>
      </w:r>
      <w:proofErr w:type="gramEnd"/>
    </w:p>
    <w:p w:rsidR="00857C5E" w:rsidRPr="006725DC" w:rsidRDefault="006725DC" w:rsidP="0038765F">
      <w:pPr>
        <w:tabs>
          <w:tab w:val="left" w:pos="1800"/>
        </w:tabs>
      </w:pPr>
      <w:r>
        <w:t xml:space="preserve">Not hard to find a county policy in this case – but wouldn’t say this was true in every case where </w:t>
      </w:r>
      <w:r>
        <w:rPr>
          <w:i/>
        </w:rPr>
        <w:t>by its</w:t>
      </w:r>
      <w:r w:rsidR="00A23010">
        <w:rPr>
          <w:rStyle w:val="FootnoteReference"/>
          <w:i/>
        </w:rPr>
        <w:footnoteReference w:id="2"/>
      </w:r>
      <w:r>
        <w:t xml:space="preserve"> staff and official makes a mistake.</w:t>
      </w:r>
    </w:p>
    <w:p w:rsidR="00857C5E" w:rsidRPr="00857C5E" w:rsidRDefault="00857C5E" w:rsidP="0038765F">
      <w:pPr>
        <w:tabs>
          <w:tab w:val="left" w:pos="1800"/>
        </w:tabs>
        <w:rPr>
          <w:b/>
          <w:smallCaps/>
        </w:rPr>
      </w:pPr>
    </w:p>
    <w:p w:rsidR="00343B88" w:rsidRPr="00857C5E" w:rsidRDefault="00343B88" w:rsidP="0038765F">
      <w:pPr>
        <w:tabs>
          <w:tab w:val="left" w:pos="1800"/>
        </w:tabs>
        <w:rPr>
          <w:b/>
          <w:smallCaps/>
        </w:rPr>
      </w:pPr>
      <w:r w:rsidRPr="00857C5E">
        <w:rPr>
          <w:b/>
          <w:smallCaps/>
        </w:rPr>
        <w:tab/>
      </w:r>
    </w:p>
    <w:p w:rsidR="002F587E" w:rsidRPr="00857C5E" w:rsidRDefault="00A23010" w:rsidP="002F587E">
      <w:pPr>
        <w:tabs>
          <w:tab w:val="left" w:pos="1800"/>
        </w:tabs>
      </w:pPr>
      <w:r>
        <w:rPr>
          <w:b/>
          <w:smallCaps/>
          <w:noProof/>
        </w:rPr>
        <w:pict>
          <v:line id="_x0000_s1079" style="position:absolute;z-index:251662848" from="-9pt,57.8pt" to="6in,57.8pt">
            <w10:wrap type="square"/>
          </v:line>
        </w:pict>
      </w:r>
      <w:r w:rsidR="00857C5E" w:rsidRPr="00857C5E">
        <w:rPr>
          <w:b/>
          <w:smallCaps/>
          <w:noProof/>
        </w:rPr>
        <w:pict>
          <v:line id="_x0000_s1064" style="position:absolute;z-index:251655680" from="-9pt,7.05pt" to="6in,7.05pt">
            <w10:wrap type="square"/>
          </v:line>
        </w:pict>
      </w:r>
      <w:r w:rsidR="002F587E" w:rsidRPr="00857C5E">
        <w:rPr>
          <w:b/>
          <w:smallCaps/>
        </w:rPr>
        <w:t>Marshall, J.</w:t>
      </w:r>
      <w:r w:rsidR="002F587E" w:rsidRPr="00857C5E">
        <w:t xml:space="preserve">    </w:t>
      </w:r>
      <w:r w:rsidR="002F587E" w:rsidRPr="00857C5E">
        <w:tab/>
      </w:r>
      <w:r w:rsidR="002F587E" w:rsidRPr="00857C5E">
        <w:tab/>
      </w:r>
    </w:p>
    <w:p w:rsidR="004E2370" w:rsidRPr="00857C5E" w:rsidRDefault="00A23010" w:rsidP="00A23010">
      <w:pPr>
        <w:tabs>
          <w:tab w:val="left" w:pos="0"/>
        </w:tabs>
      </w:pPr>
      <w:r>
        <w:t xml:space="preserve">I’d affirm – this is bench warrant </w:t>
      </w:r>
      <w:r w:rsidRPr="00C27DEB">
        <w:t>and</w:t>
      </w:r>
      <w:r>
        <w:t xml:space="preserve"> they can</w:t>
      </w:r>
      <w:r>
        <w:rPr>
          <w:rStyle w:val="FootnoteReference"/>
        </w:rPr>
        <w:footnoteReference w:id="3"/>
      </w:r>
      <w:r>
        <w:t xml:space="preserve"> break down door even though I joined </w:t>
      </w:r>
      <w:proofErr w:type="spellStart"/>
      <w:r>
        <w:t>Steagald</w:t>
      </w:r>
      <w:proofErr w:type="spellEnd"/>
    </w:p>
    <w:p w:rsidR="00A23010" w:rsidRDefault="00A23010" w:rsidP="004E2370">
      <w:pPr>
        <w:jc w:val="center"/>
      </w:pPr>
    </w:p>
    <w:p w:rsidR="00A23010" w:rsidRDefault="00A23010" w:rsidP="00A23010">
      <w:pPr>
        <w:tabs>
          <w:tab w:val="left" w:pos="720"/>
        </w:tabs>
        <w:rPr>
          <w:b/>
          <w:smallCaps/>
        </w:rPr>
      </w:pPr>
      <w:r w:rsidRPr="006052AB">
        <w:rPr>
          <w:b/>
          <w:smallCaps/>
        </w:rPr>
        <w:t xml:space="preserve">Blackmun, J. </w:t>
      </w:r>
    </w:p>
    <w:p w:rsidR="00A23010" w:rsidRDefault="00A23010" w:rsidP="00A23010">
      <w:r>
        <w:t xml:space="preserve">Activity and not repetition is the focus. </w:t>
      </w:r>
    </w:p>
    <w:p w:rsidR="004E2370" w:rsidRDefault="00A23010" w:rsidP="00C27DEB">
      <w:pPr>
        <w:jc w:val="center"/>
        <w:rPr>
          <w:b/>
          <w:u w:val="single"/>
        </w:rPr>
      </w:pPr>
      <w:r>
        <w:t xml:space="preserve">Officer acted on authority of persons entitled to act – and that’s </w:t>
      </w:r>
      <w:proofErr w:type="gramStart"/>
      <w:r>
        <w:t>policy</w:t>
      </w:r>
      <w:proofErr w:type="gramEnd"/>
      <w:r w:rsidR="00FD31FF" w:rsidRPr="00857C5E">
        <w:br w:type="page"/>
      </w:r>
      <w:r w:rsidR="00F94519">
        <w:rPr>
          <w:b/>
        </w:rPr>
        <w:lastRenderedPageBreak/>
        <w:t>[2</w:t>
      </w:r>
      <w:r w:rsidR="00447B9B">
        <w:rPr>
          <w:b/>
        </w:rPr>
        <w:t>n</w:t>
      </w:r>
      <w:r w:rsidR="001804ED">
        <w:rPr>
          <w:b/>
        </w:rPr>
        <w:t>d</w:t>
      </w:r>
      <w:r w:rsidR="004E2370" w:rsidRPr="001F0626">
        <w:rPr>
          <w:b/>
        </w:rPr>
        <w:t xml:space="preserve"> Page – Image</w:t>
      </w:r>
      <w:r w:rsidR="00D41F1F">
        <w:rPr>
          <w:b/>
        </w:rPr>
        <w:t xml:space="preserve"> </w:t>
      </w:r>
      <w:r w:rsidR="00D41F1F" w:rsidRPr="00D41F1F">
        <w:rPr>
          <w:b/>
        </w:rPr>
        <w:t>WJB692F100004</w:t>
      </w:r>
      <w:r w:rsidR="004E2370" w:rsidRPr="00D41F1F">
        <w:rPr>
          <w:b/>
        </w:rPr>
        <w:t>]</w:t>
      </w:r>
    </w:p>
    <w:p w:rsidR="0057269F" w:rsidRDefault="0057269F" w:rsidP="004E2370">
      <w:pPr>
        <w:jc w:val="center"/>
        <w:rPr>
          <w:b/>
          <w:u w:val="single"/>
        </w:rPr>
      </w:pPr>
    </w:p>
    <w:p w:rsidR="0057269F" w:rsidRPr="001F0626" w:rsidRDefault="0057269F" w:rsidP="004E2370">
      <w:pPr>
        <w:jc w:val="center"/>
        <w:rPr>
          <w:b/>
          <w:u w:val="single"/>
        </w:rPr>
      </w:pPr>
      <w:r>
        <w:rPr>
          <w:b/>
          <w:noProof/>
        </w:rPr>
        <w:pict>
          <v:rect id="_x0000_s1074" style="position:absolute;left:0;text-align:left;margin-left:-36pt;margin-top:-.6pt;width:522pt;height:486pt;z-index:251659776" filled="f">
            <v:fill opacity="0"/>
          </v:rect>
        </w:pict>
      </w:r>
    </w:p>
    <w:p w:rsidR="006052AB" w:rsidRDefault="006052AB" w:rsidP="00D06940">
      <w:pPr>
        <w:tabs>
          <w:tab w:val="left" w:pos="720"/>
        </w:tabs>
        <w:rPr>
          <w:b/>
          <w:smallCaps/>
        </w:rPr>
      </w:pPr>
    </w:p>
    <w:p w:rsidR="006052AB" w:rsidRPr="006052AB" w:rsidRDefault="006052AB" w:rsidP="00D06940">
      <w:pPr>
        <w:tabs>
          <w:tab w:val="left" w:pos="720"/>
        </w:tabs>
        <w:rPr>
          <w:b/>
          <w:smallCaps/>
        </w:rPr>
      </w:pPr>
    </w:p>
    <w:p w:rsidR="005C60FC" w:rsidRPr="006052AB" w:rsidRDefault="005C60FC" w:rsidP="004E2370">
      <w:pPr>
        <w:tabs>
          <w:tab w:val="left" w:pos="720"/>
        </w:tabs>
      </w:pPr>
      <w:r w:rsidRPr="006052AB">
        <w:rPr>
          <w:b/>
          <w:smallCaps/>
          <w:noProof/>
        </w:rPr>
        <w:pict>
          <v:line id="_x0000_s1069" style="position:absolute;z-index:251656704" from="0,2.6pt" to="441pt,2.6pt">
            <w10:wrap type="square"/>
          </v:line>
        </w:pict>
      </w:r>
      <w:r w:rsidRPr="006052AB">
        <w:rPr>
          <w:b/>
          <w:smallCaps/>
        </w:rPr>
        <w:t>Powell, J.</w:t>
      </w:r>
      <w:r w:rsidRPr="006052AB">
        <w:rPr>
          <w:b/>
          <w:smallCaps/>
        </w:rPr>
        <w:tab/>
      </w:r>
      <w:r w:rsidRPr="006052AB">
        <w:rPr>
          <w:b/>
          <w:smallCaps/>
        </w:rPr>
        <w:tab/>
      </w:r>
    </w:p>
    <w:p w:rsidR="00D06940" w:rsidRDefault="00C27DEB" w:rsidP="00D06940">
      <w:pPr>
        <w:tabs>
          <w:tab w:val="left" w:pos="720"/>
        </w:tabs>
      </w:pPr>
      <w:r>
        <w:t xml:space="preserve">Would not apply </w:t>
      </w:r>
      <w:proofErr w:type="spellStart"/>
      <w:r>
        <w:t>Steagald</w:t>
      </w:r>
      <w:proofErr w:type="spellEnd"/>
      <w:r>
        <w:t xml:space="preserve"> retroactively so don’t have to reach policy question.  If I had to reach it, I’d say no policy in this episode.  I’d never have joined </w:t>
      </w:r>
      <w:proofErr w:type="spellStart"/>
      <w:r>
        <w:t>Monell</w:t>
      </w:r>
      <w:proofErr w:type="spellEnd"/>
      <w:r>
        <w:t xml:space="preserve"> if “policy” there means what WJB now says.</w:t>
      </w:r>
    </w:p>
    <w:p w:rsidR="006052AB" w:rsidRDefault="006052AB" w:rsidP="00D06940">
      <w:pPr>
        <w:tabs>
          <w:tab w:val="left" w:pos="720"/>
        </w:tabs>
      </w:pPr>
    </w:p>
    <w:p w:rsidR="006052AB" w:rsidRPr="006052AB" w:rsidRDefault="006052AB" w:rsidP="00D06940">
      <w:pPr>
        <w:tabs>
          <w:tab w:val="left" w:pos="720"/>
        </w:tabs>
      </w:pPr>
    </w:p>
    <w:p w:rsidR="005C60FC" w:rsidRPr="006052AB" w:rsidRDefault="001C0AB4" w:rsidP="004E2370">
      <w:pPr>
        <w:tabs>
          <w:tab w:val="left" w:pos="720"/>
        </w:tabs>
      </w:pPr>
      <w:r w:rsidRPr="006052AB">
        <w:rPr>
          <w:b/>
          <w:smallCaps/>
          <w:noProof/>
        </w:rPr>
        <w:pict>
          <v:line id="_x0000_s1070" style="position:absolute;z-index:251657728" from="0,6.8pt" to="441pt,6.8pt">
            <w10:wrap type="square"/>
          </v:line>
        </w:pict>
      </w:r>
      <w:r w:rsidRPr="006052AB">
        <w:rPr>
          <w:b/>
          <w:smallCaps/>
        </w:rPr>
        <w:t>Rehnquist, J.</w:t>
      </w:r>
      <w:r w:rsidRPr="006052AB">
        <w:tab/>
      </w:r>
    </w:p>
    <w:p w:rsidR="006052AB" w:rsidRDefault="00C27DEB" w:rsidP="00123868">
      <w:pPr>
        <w:tabs>
          <w:tab w:val="left" w:pos="720"/>
        </w:tabs>
      </w:pPr>
      <w:proofErr w:type="gramStart"/>
      <w:r>
        <w:t xml:space="preserve">Wrong to apply </w:t>
      </w:r>
      <w:proofErr w:type="spellStart"/>
      <w:r>
        <w:t>Steagald</w:t>
      </w:r>
      <w:proofErr w:type="spellEnd"/>
      <w:r>
        <w:t xml:space="preserve"> retroactively.</w:t>
      </w:r>
      <w:proofErr w:type="gramEnd"/>
    </w:p>
    <w:p w:rsidR="00C27DEB" w:rsidRDefault="00C27DEB" w:rsidP="00123868">
      <w:pPr>
        <w:tabs>
          <w:tab w:val="left" w:pos="720"/>
        </w:tabs>
      </w:pPr>
      <w:r>
        <w:t>Anyway can’t find a policy here.</w:t>
      </w:r>
    </w:p>
    <w:p w:rsidR="006052AB" w:rsidRDefault="006052AB" w:rsidP="00123868">
      <w:pPr>
        <w:tabs>
          <w:tab w:val="left" w:pos="720"/>
        </w:tabs>
      </w:pPr>
    </w:p>
    <w:p w:rsidR="00C27DEB" w:rsidRDefault="000D0310" w:rsidP="00123868">
      <w:pPr>
        <w:tabs>
          <w:tab w:val="left" w:pos="720"/>
        </w:tabs>
      </w:pPr>
      <w:r w:rsidRPr="006052AB">
        <w:rPr>
          <w:b/>
          <w:smallCaps/>
          <w:noProof/>
        </w:rPr>
        <w:pict>
          <v:line id="_x0000_s1075" style="position:absolute;z-index:251660800" from="0,4.4pt" to="441pt,4.4pt">
            <w10:wrap type="square"/>
          </v:line>
        </w:pict>
      </w:r>
      <w:r w:rsidRPr="006052AB">
        <w:rPr>
          <w:b/>
          <w:smallCaps/>
        </w:rPr>
        <w:t>Stevens, J.</w:t>
      </w:r>
      <w:r w:rsidRPr="006052AB">
        <w:tab/>
      </w:r>
    </w:p>
    <w:p w:rsidR="00C27DEB" w:rsidRDefault="00C27DEB" w:rsidP="00123868">
      <w:pPr>
        <w:tabs>
          <w:tab w:val="left" w:pos="720"/>
        </w:tabs>
      </w:pPr>
      <w:r>
        <w:t>Don’t think can *** county – policy often made by single official</w:t>
      </w:r>
    </w:p>
    <w:p w:rsidR="00C27DEB" w:rsidRDefault="00C27DEB" w:rsidP="00123868">
      <w:pPr>
        <w:tabs>
          <w:tab w:val="left" w:pos="720"/>
        </w:tabs>
      </w:pPr>
    </w:p>
    <w:p w:rsidR="00C27DEB" w:rsidRDefault="00C27DEB" w:rsidP="00C27DEB">
      <w:pPr>
        <w:tabs>
          <w:tab w:val="left" w:pos="720"/>
        </w:tabs>
      </w:pPr>
    </w:p>
    <w:p w:rsidR="00C27DEB" w:rsidRDefault="00C27DEB" w:rsidP="00C27DEB">
      <w:pPr>
        <w:tabs>
          <w:tab w:val="left" w:pos="720"/>
        </w:tabs>
      </w:pPr>
      <w:r w:rsidRPr="006052AB">
        <w:rPr>
          <w:b/>
          <w:smallCaps/>
          <w:noProof/>
        </w:rPr>
        <w:pict>
          <v:line id="_x0000_s1080" style="position:absolute;z-index:251664896" from="0,4.4pt" to="441pt,4.4pt">
            <w10:wrap type="square"/>
          </v:line>
        </w:pict>
      </w:r>
      <w:r>
        <w:rPr>
          <w:b/>
          <w:smallCaps/>
        </w:rPr>
        <w:t>O’Connor</w:t>
      </w:r>
      <w:r w:rsidRPr="006052AB">
        <w:rPr>
          <w:b/>
          <w:smallCaps/>
        </w:rPr>
        <w:t>, J.</w:t>
      </w:r>
      <w:r w:rsidRPr="006052AB">
        <w:tab/>
      </w:r>
    </w:p>
    <w:p w:rsidR="00C27DEB" w:rsidRDefault="00C27DEB" w:rsidP="00C27DEB">
      <w:pPr>
        <w:tabs>
          <w:tab w:val="left" w:pos="720"/>
        </w:tabs>
      </w:pPr>
      <w:r>
        <w:t>Ohio law gives prosecutor authority to give these instructions.</w:t>
      </w:r>
    </w:p>
    <w:p w:rsidR="0057269F" w:rsidRPr="006052AB" w:rsidRDefault="00C27DEB" w:rsidP="00C27DEB">
      <w:pPr>
        <w:tabs>
          <w:tab w:val="left" w:pos="720"/>
        </w:tabs>
      </w:pPr>
      <w:r>
        <w:rPr>
          <w:i/>
        </w:rPr>
        <w:t>All</w:t>
      </w:r>
      <w:r w:rsidR="0059518F">
        <w:rPr>
          <w:rStyle w:val="FootnoteReference"/>
          <w:i/>
        </w:rPr>
        <w:footnoteReference w:id="4"/>
      </w:r>
      <w:r>
        <w:t xml:space="preserve">  </w:t>
      </w:r>
      <w:proofErr w:type="spellStart"/>
      <w:r>
        <w:t>Steagald</w:t>
      </w:r>
      <w:proofErr w:type="spellEnd"/>
      <w:r>
        <w:t xml:space="preserve"> </w:t>
      </w:r>
      <w:r w:rsidRPr="00C27DEB">
        <w:rPr>
          <w:i/>
        </w:rPr>
        <w:t>could</w:t>
      </w:r>
      <w:r>
        <w:t xml:space="preserve"> say wrong but not </w:t>
      </w:r>
      <w:proofErr w:type="gramStart"/>
      <w:r>
        <w:t>raised</w:t>
      </w:r>
      <w:proofErr w:type="gramEnd"/>
      <w:r w:rsidR="000D0310" w:rsidRPr="006052AB">
        <w:tab/>
      </w:r>
    </w:p>
    <w:p w:rsidR="000D0310" w:rsidRDefault="000D0310" w:rsidP="000D0310">
      <w:pPr>
        <w:tabs>
          <w:tab w:val="left" w:pos="1800"/>
        </w:tabs>
        <w:ind w:left="252" w:hanging="252"/>
      </w:pPr>
    </w:p>
    <w:p w:rsidR="006052AB" w:rsidRDefault="006052AB" w:rsidP="000D0310">
      <w:pPr>
        <w:tabs>
          <w:tab w:val="left" w:pos="1800"/>
        </w:tabs>
        <w:ind w:left="252" w:hanging="252"/>
        <w:rPr>
          <w:i/>
          <w:u w:val="single"/>
        </w:rPr>
      </w:pPr>
    </w:p>
    <w:p w:rsidR="006B02D0" w:rsidRPr="009422D1" w:rsidRDefault="006B02D0" w:rsidP="00BF0E5B"/>
    <w:p w:rsidR="00D0291B" w:rsidRPr="009422D1" w:rsidRDefault="00D0291B">
      <w:pPr>
        <w:rPr>
          <w:i/>
        </w:rPr>
      </w:pPr>
    </w:p>
    <w:sectPr w:rsidR="00D0291B" w:rsidRPr="009422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6B" w:rsidRDefault="00490A6B">
      <w:r>
        <w:separator/>
      </w:r>
    </w:p>
  </w:endnote>
  <w:endnote w:type="continuationSeparator" w:id="0">
    <w:p w:rsidR="00490A6B" w:rsidRDefault="0049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6B" w:rsidRDefault="00490A6B">
      <w:r>
        <w:separator/>
      </w:r>
    </w:p>
  </w:footnote>
  <w:footnote w:type="continuationSeparator" w:id="0">
    <w:p w:rsidR="00490A6B" w:rsidRDefault="00490A6B">
      <w:r>
        <w:continuationSeparator/>
      </w:r>
    </w:p>
  </w:footnote>
  <w:footnote w:id="1">
    <w:p w:rsidR="008F431F" w:rsidRDefault="008F431F" w:rsidP="00A23010">
      <w:r>
        <w:rPr>
          <w:rStyle w:val="FootnoteReference"/>
        </w:rPr>
        <w:footnoteRef/>
      </w:r>
      <w:r w:rsidR="00277D39" w:rsidRPr="001C0AB4">
        <w:rPr>
          <w:sz w:val="20"/>
          <w:szCs w:val="20"/>
        </w:rPr>
        <w:t xml:space="preserve">Words added by </w:t>
      </w:r>
      <w:r w:rsidR="0056457C" w:rsidRPr="001C0AB4">
        <w:rPr>
          <w:sz w:val="20"/>
          <w:szCs w:val="20"/>
        </w:rPr>
        <w:t xml:space="preserve">the </w:t>
      </w:r>
      <w:r w:rsidR="00277D39" w:rsidRPr="001C0AB4">
        <w:rPr>
          <w:sz w:val="20"/>
          <w:szCs w:val="20"/>
        </w:rPr>
        <w:t xml:space="preserve">editor </w:t>
      </w:r>
      <w:r w:rsidR="0056457C" w:rsidRPr="001C0AB4">
        <w:rPr>
          <w:sz w:val="20"/>
          <w:szCs w:val="20"/>
        </w:rPr>
        <w:t xml:space="preserve">for clarity </w:t>
      </w:r>
      <w:r w:rsidR="00277D39" w:rsidRPr="001C0AB4">
        <w:rPr>
          <w:sz w:val="20"/>
          <w:szCs w:val="20"/>
        </w:rPr>
        <w:t>are enclosed in brackets</w:t>
      </w:r>
      <w:r w:rsidR="0056457C" w:rsidRPr="001C0AB4">
        <w:rPr>
          <w:sz w:val="20"/>
          <w:szCs w:val="20"/>
        </w:rPr>
        <w:t xml:space="preserve"> as are editor comments</w:t>
      </w:r>
      <w:r w:rsidR="00277D39" w:rsidRPr="001C0AB4">
        <w:rPr>
          <w:sz w:val="20"/>
          <w:szCs w:val="20"/>
        </w:rPr>
        <w:t xml:space="preserve">.  </w:t>
      </w:r>
      <w:r w:rsidR="006F7FC4" w:rsidRPr="001C0AB4">
        <w:rPr>
          <w:sz w:val="20"/>
          <w:szCs w:val="20"/>
        </w:rPr>
        <w:t>I</w:t>
      </w:r>
      <w:r w:rsidR="00277D39" w:rsidRPr="001C0AB4">
        <w:rPr>
          <w:sz w:val="20"/>
          <w:szCs w:val="20"/>
        </w:rPr>
        <w:t xml:space="preserve">nterpretations </w:t>
      </w:r>
      <w:r w:rsidR="006F7FC4" w:rsidRPr="001C0AB4">
        <w:rPr>
          <w:sz w:val="20"/>
          <w:szCs w:val="20"/>
        </w:rPr>
        <w:t>of which the editor is particularly uncertain are indicated in italics and alternative interpretations</w:t>
      </w:r>
      <w:r w:rsidR="009F2487" w:rsidRPr="001C0AB4">
        <w:rPr>
          <w:sz w:val="20"/>
          <w:szCs w:val="20"/>
        </w:rPr>
        <w:t xml:space="preserve"> may be indicated in footnotes</w:t>
      </w:r>
      <w:r w:rsidR="006F7FC4" w:rsidRPr="001C0AB4">
        <w:rPr>
          <w:sz w:val="20"/>
          <w:szCs w:val="20"/>
        </w:rPr>
        <w:t>.</w:t>
      </w:r>
      <w:r w:rsidR="00277D39" w:rsidRPr="001C0AB4">
        <w:rPr>
          <w:sz w:val="20"/>
          <w:szCs w:val="20"/>
        </w:rPr>
        <w:t xml:space="preserve"> </w:t>
      </w:r>
      <w:r w:rsidR="005E0608" w:rsidRPr="001C0AB4">
        <w:rPr>
          <w:sz w:val="20"/>
          <w:szCs w:val="20"/>
        </w:rPr>
        <w:t xml:space="preserve"> </w:t>
      </w:r>
      <w:r w:rsidR="002123BD" w:rsidRPr="001C0AB4">
        <w:rPr>
          <w:sz w:val="20"/>
          <w:szCs w:val="20"/>
        </w:rPr>
        <w:t xml:space="preserve">Items in </w:t>
      </w:r>
      <w:r w:rsidR="002123BD" w:rsidRPr="001C0AB4">
        <w:rPr>
          <w:smallCaps/>
          <w:sz w:val="20"/>
          <w:szCs w:val="20"/>
        </w:rPr>
        <w:t>small caps</w:t>
      </w:r>
      <w:r w:rsidR="002123BD" w:rsidRPr="001C0AB4">
        <w:rPr>
          <w:sz w:val="20"/>
          <w:szCs w:val="20"/>
        </w:rPr>
        <w:t xml:space="preserve"> were printed or typed </w:t>
      </w:r>
      <w:r w:rsidR="005C60FC" w:rsidRPr="001C0AB4">
        <w:rPr>
          <w:sz w:val="20"/>
          <w:szCs w:val="20"/>
        </w:rPr>
        <w:t xml:space="preserve">in the original </w:t>
      </w:r>
      <w:r w:rsidR="002123BD" w:rsidRPr="001C0AB4">
        <w:rPr>
          <w:sz w:val="20"/>
          <w:szCs w:val="20"/>
        </w:rPr>
        <w:t xml:space="preserve">rather than handwritten.  </w:t>
      </w:r>
    </w:p>
  </w:footnote>
  <w:footnote w:id="2">
    <w:p w:rsidR="00A23010" w:rsidRDefault="00A23010">
      <w:pPr>
        <w:pStyle w:val="FootnoteText"/>
      </w:pPr>
      <w:r>
        <w:rPr>
          <w:rStyle w:val="FootnoteReference"/>
        </w:rPr>
        <w:footnoteRef/>
      </w:r>
      <w:r>
        <w:t xml:space="preserve"> This is very unclear could be one word or two.   It could be “</w:t>
      </w:r>
      <w:proofErr w:type="spellStart"/>
      <w:r>
        <w:t>brite</w:t>
      </w:r>
      <w:proofErr w:type="spellEnd"/>
      <w:r>
        <w:t xml:space="preserve">” used colloquially and sarcastically.  </w:t>
      </w:r>
    </w:p>
  </w:footnote>
  <w:footnote w:id="3">
    <w:p w:rsidR="00A23010" w:rsidRDefault="00A23010">
      <w:pPr>
        <w:pStyle w:val="FootnoteText"/>
      </w:pPr>
      <w:r>
        <w:rPr>
          <w:rStyle w:val="FootnoteReference"/>
        </w:rPr>
        <w:footnoteRef/>
      </w:r>
      <w:r>
        <w:t xml:space="preserve"> This pretty clearly looks like “can” but logically should be “can’t.”  </w:t>
      </w:r>
    </w:p>
  </w:footnote>
  <w:footnote w:id="4">
    <w:p w:rsidR="0059518F" w:rsidRDefault="0059518F">
      <w:pPr>
        <w:pStyle w:val="FootnoteText"/>
      </w:pPr>
      <w:r>
        <w:rPr>
          <w:rStyle w:val="FootnoteReference"/>
        </w:rPr>
        <w:footnoteRef/>
      </w:r>
      <w:r>
        <w:t xml:space="preserve"> This word looks like “All” but doesn’t make much sense in context.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38A"/>
    <w:rsid w:val="00030E70"/>
    <w:rsid w:val="00045B46"/>
    <w:rsid w:val="00046340"/>
    <w:rsid w:val="00064862"/>
    <w:rsid w:val="000736FB"/>
    <w:rsid w:val="00076175"/>
    <w:rsid w:val="00082CAE"/>
    <w:rsid w:val="000859F7"/>
    <w:rsid w:val="00085CB3"/>
    <w:rsid w:val="000D0310"/>
    <w:rsid w:val="000D0FD8"/>
    <w:rsid w:val="000F3554"/>
    <w:rsid w:val="00110297"/>
    <w:rsid w:val="00114F4E"/>
    <w:rsid w:val="00121ABC"/>
    <w:rsid w:val="00123868"/>
    <w:rsid w:val="001342C4"/>
    <w:rsid w:val="00140B70"/>
    <w:rsid w:val="00141AA6"/>
    <w:rsid w:val="00142821"/>
    <w:rsid w:val="001473FD"/>
    <w:rsid w:val="0017071E"/>
    <w:rsid w:val="00173814"/>
    <w:rsid w:val="001804ED"/>
    <w:rsid w:val="001861CE"/>
    <w:rsid w:val="0018782B"/>
    <w:rsid w:val="001900BC"/>
    <w:rsid w:val="00191754"/>
    <w:rsid w:val="00191963"/>
    <w:rsid w:val="001A237D"/>
    <w:rsid w:val="001C0AB4"/>
    <w:rsid w:val="001D48FC"/>
    <w:rsid w:val="001E1743"/>
    <w:rsid w:val="001F0626"/>
    <w:rsid w:val="001F2D8E"/>
    <w:rsid w:val="00204973"/>
    <w:rsid w:val="00206C85"/>
    <w:rsid w:val="00207111"/>
    <w:rsid w:val="002118A2"/>
    <w:rsid w:val="002123BD"/>
    <w:rsid w:val="002262C4"/>
    <w:rsid w:val="00227FC7"/>
    <w:rsid w:val="002433FC"/>
    <w:rsid w:val="0024366C"/>
    <w:rsid w:val="002517E9"/>
    <w:rsid w:val="002553BA"/>
    <w:rsid w:val="00255AE5"/>
    <w:rsid w:val="002751D2"/>
    <w:rsid w:val="002759A1"/>
    <w:rsid w:val="00275E3D"/>
    <w:rsid w:val="00277D39"/>
    <w:rsid w:val="00294041"/>
    <w:rsid w:val="002A3C64"/>
    <w:rsid w:val="002B526D"/>
    <w:rsid w:val="002C54C1"/>
    <w:rsid w:val="002C6C85"/>
    <w:rsid w:val="002D1D98"/>
    <w:rsid w:val="002E206A"/>
    <w:rsid w:val="002F298C"/>
    <w:rsid w:val="002F43A6"/>
    <w:rsid w:val="002F587E"/>
    <w:rsid w:val="002F7296"/>
    <w:rsid w:val="00300B1C"/>
    <w:rsid w:val="00316357"/>
    <w:rsid w:val="003338AC"/>
    <w:rsid w:val="00337B40"/>
    <w:rsid w:val="00343B88"/>
    <w:rsid w:val="00344E11"/>
    <w:rsid w:val="00355ED7"/>
    <w:rsid w:val="00356A8E"/>
    <w:rsid w:val="00366462"/>
    <w:rsid w:val="0038051F"/>
    <w:rsid w:val="0038765F"/>
    <w:rsid w:val="00397263"/>
    <w:rsid w:val="003B216A"/>
    <w:rsid w:val="003D4210"/>
    <w:rsid w:val="003D65FB"/>
    <w:rsid w:val="003E5D54"/>
    <w:rsid w:val="00403A8B"/>
    <w:rsid w:val="0041415D"/>
    <w:rsid w:val="00425FB5"/>
    <w:rsid w:val="00447B9B"/>
    <w:rsid w:val="004604F8"/>
    <w:rsid w:val="00461A7B"/>
    <w:rsid w:val="00490A6B"/>
    <w:rsid w:val="00491F52"/>
    <w:rsid w:val="004B0CF1"/>
    <w:rsid w:val="004B5AF1"/>
    <w:rsid w:val="004C4334"/>
    <w:rsid w:val="004C7A92"/>
    <w:rsid w:val="004E2370"/>
    <w:rsid w:val="004F0CF0"/>
    <w:rsid w:val="004F7F69"/>
    <w:rsid w:val="00506A59"/>
    <w:rsid w:val="00513283"/>
    <w:rsid w:val="005145DA"/>
    <w:rsid w:val="00524CFE"/>
    <w:rsid w:val="00531440"/>
    <w:rsid w:val="005404D0"/>
    <w:rsid w:val="005427BF"/>
    <w:rsid w:val="005448FB"/>
    <w:rsid w:val="00556879"/>
    <w:rsid w:val="00561231"/>
    <w:rsid w:val="00563189"/>
    <w:rsid w:val="0056457C"/>
    <w:rsid w:val="0057269F"/>
    <w:rsid w:val="0059518F"/>
    <w:rsid w:val="00595DCE"/>
    <w:rsid w:val="005A033F"/>
    <w:rsid w:val="005A1984"/>
    <w:rsid w:val="005C60FC"/>
    <w:rsid w:val="005C722D"/>
    <w:rsid w:val="005E0608"/>
    <w:rsid w:val="006052AB"/>
    <w:rsid w:val="0062125E"/>
    <w:rsid w:val="00647D48"/>
    <w:rsid w:val="00650432"/>
    <w:rsid w:val="00652E4E"/>
    <w:rsid w:val="006537B2"/>
    <w:rsid w:val="0066066D"/>
    <w:rsid w:val="00665CE9"/>
    <w:rsid w:val="00667E7C"/>
    <w:rsid w:val="006725DC"/>
    <w:rsid w:val="00683003"/>
    <w:rsid w:val="00684915"/>
    <w:rsid w:val="006B02D0"/>
    <w:rsid w:val="006B34F1"/>
    <w:rsid w:val="006B40ED"/>
    <w:rsid w:val="006D03B0"/>
    <w:rsid w:val="006F7FC4"/>
    <w:rsid w:val="00725C5D"/>
    <w:rsid w:val="007473DD"/>
    <w:rsid w:val="00767960"/>
    <w:rsid w:val="00767BDF"/>
    <w:rsid w:val="00772953"/>
    <w:rsid w:val="0078525E"/>
    <w:rsid w:val="007B4D9B"/>
    <w:rsid w:val="007C3DD3"/>
    <w:rsid w:val="007D6A1F"/>
    <w:rsid w:val="007E1067"/>
    <w:rsid w:val="007E10CA"/>
    <w:rsid w:val="00805FD1"/>
    <w:rsid w:val="008374C4"/>
    <w:rsid w:val="0085075A"/>
    <w:rsid w:val="00850F01"/>
    <w:rsid w:val="00851C49"/>
    <w:rsid w:val="00857C5E"/>
    <w:rsid w:val="0086367A"/>
    <w:rsid w:val="008721D2"/>
    <w:rsid w:val="008760DB"/>
    <w:rsid w:val="008778B3"/>
    <w:rsid w:val="00892745"/>
    <w:rsid w:val="008A1D1D"/>
    <w:rsid w:val="008C3169"/>
    <w:rsid w:val="008C6558"/>
    <w:rsid w:val="008C7538"/>
    <w:rsid w:val="008F431F"/>
    <w:rsid w:val="00912D95"/>
    <w:rsid w:val="00920342"/>
    <w:rsid w:val="00931215"/>
    <w:rsid w:val="009422D1"/>
    <w:rsid w:val="009423A5"/>
    <w:rsid w:val="00945D13"/>
    <w:rsid w:val="00987A71"/>
    <w:rsid w:val="009902A9"/>
    <w:rsid w:val="009A01DB"/>
    <w:rsid w:val="009A47D1"/>
    <w:rsid w:val="009A63B4"/>
    <w:rsid w:val="009B7DDA"/>
    <w:rsid w:val="009C626D"/>
    <w:rsid w:val="009F2487"/>
    <w:rsid w:val="009F7F77"/>
    <w:rsid w:val="00A0041C"/>
    <w:rsid w:val="00A07262"/>
    <w:rsid w:val="00A12BCB"/>
    <w:rsid w:val="00A16C4F"/>
    <w:rsid w:val="00A23010"/>
    <w:rsid w:val="00A24E43"/>
    <w:rsid w:val="00A27D99"/>
    <w:rsid w:val="00A40FDC"/>
    <w:rsid w:val="00A44A09"/>
    <w:rsid w:val="00A61237"/>
    <w:rsid w:val="00A716F6"/>
    <w:rsid w:val="00A92547"/>
    <w:rsid w:val="00AB6667"/>
    <w:rsid w:val="00AC2BE6"/>
    <w:rsid w:val="00AF4F83"/>
    <w:rsid w:val="00B02ADC"/>
    <w:rsid w:val="00B03F6E"/>
    <w:rsid w:val="00B220E1"/>
    <w:rsid w:val="00B32E9B"/>
    <w:rsid w:val="00B373D9"/>
    <w:rsid w:val="00B5238A"/>
    <w:rsid w:val="00B839BF"/>
    <w:rsid w:val="00B849D6"/>
    <w:rsid w:val="00BB015C"/>
    <w:rsid w:val="00BB4B87"/>
    <w:rsid w:val="00BC064A"/>
    <w:rsid w:val="00BC1B6C"/>
    <w:rsid w:val="00BF0E5B"/>
    <w:rsid w:val="00C151CC"/>
    <w:rsid w:val="00C22871"/>
    <w:rsid w:val="00C27DEB"/>
    <w:rsid w:val="00C444D8"/>
    <w:rsid w:val="00C541CE"/>
    <w:rsid w:val="00C627AA"/>
    <w:rsid w:val="00C655DF"/>
    <w:rsid w:val="00C75953"/>
    <w:rsid w:val="00C77CB1"/>
    <w:rsid w:val="00C8368F"/>
    <w:rsid w:val="00CA2235"/>
    <w:rsid w:val="00CA3C93"/>
    <w:rsid w:val="00CB7F98"/>
    <w:rsid w:val="00CC12B0"/>
    <w:rsid w:val="00CD30EA"/>
    <w:rsid w:val="00CD77A9"/>
    <w:rsid w:val="00CF013D"/>
    <w:rsid w:val="00CF1D09"/>
    <w:rsid w:val="00D0291B"/>
    <w:rsid w:val="00D06940"/>
    <w:rsid w:val="00D11999"/>
    <w:rsid w:val="00D31C2C"/>
    <w:rsid w:val="00D41F1F"/>
    <w:rsid w:val="00D45F8B"/>
    <w:rsid w:val="00D62999"/>
    <w:rsid w:val="00D67DDC"/>
    <w:rsid w:val="00D71566"/>
    <w:rsid w:val="00D72BBA"/>
    <w:rsid w:val="00D751B1"/>
    <w:rsid w:val="00D85CFC"/>
    <w:rsid w:val="00D87865"/>
    <w:rsid w:val="00DA125D"/>
    <w:rsid w:val="00DA1D0A"/>
    <w:rsid w:val="00DA3491"/>
    <w:rsid w:val="00DA6D3D"/>
    <w:rsid w:val="00DB11CC"/>
    <w:rsid w:val="00DC45B0"/>
    <w:rsid w:val="00DC64C5"/>
    <w:rsid w:val="00DD57F2"/>
    <w:rsid w:val="00DD6127"/>
    <w:rsid w:val="00E005AB"/>
    <w:rsid w:val="00E13708"/>
    <w:rsid w:val="00E26780"/>
    <w:rsid w:val="00E27402"/>
    <w:rsid w:val="00E34924"/>
    <w:rsid w:val="00E34941"/>
    <w:rsid w:val="00E41D0D"/>
    <w:rsid w:val="00E47823"/>
    <w:rsid w:val="00E71936"/>
    <w:rsid w:val="00E77A93"/>
    <w:rsid w:val="00E87B0C"/>
    <w:rsid w:val="00EA55B5"/>
    <w:rsid w:val="00EB10CA"/>
    <w:rsid w:val="00EB6286"/>
    <w:rsid w:val="00ED368F"/>
    <w:rsid w:val="00F26F09"/>
    <w:rsid w:val="00F4069D"/>
    <w:rsid w:val="00F42A52"/>
    <w:rsid w:val="00F635C1"/>
    <w:rsid w:val="00F6431D"/>
    <w:rsid w:val="00F71BA0"/>
    <w:rsid w:val="00F83793"/>
    <w:rsid w:val="00F94519"/>
    <w:rsid w:val="00FA1F6A"/>
    <w:rsid w:val="00FB0C9E"/>
    <w:rsid w:val="00FB232D"/>
    <w:rsid w:val="00FB4F69"/>
    <w:rsid w:val="00FB68A3"/>
    <w:rsid w:val="00FC745E"/>
    <w:rsid w:val="00FD31FF"/>
    <w:rsid w:val="00FD40FC"/>
    <w:rsid w:val="00FD6CBE"/>
    <w:rsid w:val="00FF44F9"/>
    <w:rsid w:val="00FF6BD1"/>
    <w:rsid w:val="00FF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pacity="0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38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D3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8F431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F431F"/>
    <w:rPr>
      <w:vertAlign w:val="superscript"/>
    </w:rPr>
  </w:style>
  <w:style w:type="character" w:styleId="CommentReference">
    <w:name w:val="annotation reference"/>
    <w:basedOn w:val="DefaultParagraphFont"/>
    <w:semiHidden/>
    <w:rsid w:val="0085075A"/>
    <w:rPr>
      <w:sz w:val="16"/>
      <w:szCs w:val="16"/>
    </w:rPr>
  </w:style>
  <w:style w:type="paragraph" w:styleId="CommentText">
    <w:name w:val="annotation text"/>
    <w:basedOn w:val="Normal"/>
    <w:semiHidden/>
    <w:rsid w:val="0085075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075A"/>
    <w:rPr>
      <w:b/>
      <w:bCs/>
    </w:rPr>
  </w:style>
  <w:style w:type="paragraph" w:styleId="BalloonText">
    <w:name w:val="Balloon Text"/>
    <w:basedOn w:val="Normal"/>
    <w:semiHidden/>
    <w:rsid w:val="0085075A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2F40-F772-424C-897E-C658270E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221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HAB258F20053-54 – [HAB’s docket sheet and notes on 11/4 Conference]</vt:lpstr>
    </vt:vector>
  </TitlesOfParts>
  <Company>UMKC Information Serivces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HAB258F20053-54 – [HAB’s docket sheet and notes on 11/4 Conference]</dc:title>
  <dc:subject/>
  <dc:creator>AchtenbergD</dc:creator>
  <cp:keywords/>
  <dc:description/>
  <cp:lastModifiedBy>David Achtenberg</cp:lastModifiedBy>
  <cp:revision>4</cp:revision>
  <dcterms:created xsi:type="dcterms:W3CDTF">2010-08-28T13:01:00Z</dcterms:created>
  <dcterms:modified xsi:type="dcterms:W3CDTF">2010-08-28T13:38:00Z</dcterms:modified>
</cp:coreProperties>
</file>